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0"/>
        <w:ind w:firstLine="0"/>
        <w:rPr>
          <w:rFonts w:hint="eastAsia" w:eastAsia="黑体"/>
          <w:b/>
          <w:bCs/>
          <w:sz w:val="84"/>
        </w:rPr>
      </w:pPr>
      <w:r>
        <w:rPr>
          <w:rFonts w:hint="eastAsia" w:eastAsia="黑体"/>
          <w:b/>
          <w:bCs/>
          <w:sz w:val="84"/>
        </w:rPr>
      </w:r>
      <w:r/>
    </w:p>
    <w:p>
      <w:pPr>
        <w:pStyle w:val="1000"/>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00"/>
        <w:ind w:left="0" w:firstLine="0"/>
        <w:rPr>
          <w:rFonts w:hint="eastAsia"/>
          <w:b/>
          <w:bCs/>
          <w:sz w:val="32"/>
        </w:rPr>
      </w:pPr>
      <w:r>
        <w:rPr>
          <w:rFonts w:hint="eastAsia"/>
          <w:b/>
          <w:bCs/>
          <w:sz w:val="32"/>
        </w:rPr>
        <w:t xml:space="preserve">项目名称：扬州工业职业技术学院楼宇物业管理与服务项目</w:t>
      </w:r>
      <w:r>
        <w:rPr>
          <w:rFonts w:hint="eastAsia"/>
          <w:b/>
          <w:bCs/>
          <w:sz w:val="32"/>
        </w:rPr>
      </w:r>
      <w:r/>
    </w:p>
    <w:p>
      <w:pPr>
        <w:pStyle w:val="887"/>
        <w:rPr>
          <w:b/>
          <w:sz w:val="30"/>
          <w:szCs w:val="30"/>
        </w:rPr>
      </w:pPr>
      <w:r>
        <w:rPr>
          <w:rFonts w:hint="eastAsia"/>
          <w:b/>
          <w:bCs/>
          <w:sz w:val="32"/>
        </w:rPr>
        <w:t xml:space="preserve">采购编号：</w:t>
      </w:r>
      <w:r>
        <w:rPr>
          <w:rFonts w:ascii="Arial" w:hAnsi="Arial"/>
          <w:b/>
          <w:bCs/>
          <w:sz w:val="32"/>
          <w:szCs w:val="24"/>
        </w:rPr>
        <w:t xml:space="preserve">JSZC-320000-</w:t>
      </w:r>
      <w:r>
        <w:rPr>
          <w:rFonts w:hint="eastAsia" w:ascii="Arial" w:hAnsi="Arial"/>
          <w:b/>
          <w:bCs/>
          <w:sz w:val="32"/>
          <w:szCs w:val="24"/>
        </w:rPr>
        <w:t xml:space="preserve">SCZX-G20</w:t>
      </w:r>
      <w:r>
        <w:rPr>
          <w:rFonts w:hint="eastAsia" w:ascii="Arial" w:hAnsi="Arial"/>
          <w:b/>
          <w:bCs/>
          <w:sz w:val="32"/>
          <w:szCs w:val="24"/>
          <w:lang w:val="en-US" w:eastAsia="zh-CN"/>
        </w:rPr>
        <w:t xml:space="preserve">2</w:t>
      </w:r>
      <w:r>
        <w:rPr>
          <w:rFonts w:hint="eastAsia" w:ascii="Arial" w:hAnsi="Arial"/>
          <w:b/>
          <w:bCs/>
          <w:sz w:val="32"/>
          <w:szCs w:val="24"/>
          <w:lang w:val="en-US" w:eastAsia="zh-CN"/>
        </w:rPr>
        <w:t xml:space="preserve">6</w:t>
      </w:r>
      <w:r>
        <w:rPr>
          <w:rFonts w:hint="eastAsia" w:ascii="Arial" w:hAnsi="Arial"/>
          <w:b/>
          <w:bCs/>
          <w:sz w:val="32"/>
          <w:szCs w:val="24"/>
        </w:rPr>
        <w:t xml:space="preserve">-</w:t>
      </w:r>
      <w:r>
        <w:rPr>
          <w:rFonts w:hint="eastAsia" w:ascii="Arial" w:hAnsi="Arial"/>
          <w:b/>
          <w:bCs/>
          <w:sz w:val="32"/>
          <w:szCs w:val="24"/>
          <w:lang w:val="en-US" w:eastAsia="zh-CN"/>
        </w:rPr>
        <w:t xml:space="preserve">0</w:t>
      </w:r>
      <w:r>
        <w:rPr>
          <w:rFonts w:hint="eastAsia" w:ascii="Arial" w:hAnsi="Arial"/>
          <w:b/>
          <w:bCs/>
          <w:sz w:val="32"/>
          <w:szCs w:val="24"/>
          <w:lang w:val="en-US" w:eastAsia="zh-CN"/>
        </w:rPr>
        <w:t xml:space="preserve">253</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887"/>
        <w:ind w:left="2811" w:hanging="2811"/>
        <w:jc w:val="center"/>
        <w:rPr>
          <w:rFonts w:hint="eastAsia"/>
          <w:b/>
          <w:color w:val="ff0000"/>
          <w:sz w:val="28"/>
          <w:szCs w:val="28"/>
        </w:rPr>
      </w:pPr>
      <w:r>
        <w:rPr>
          <w:rFonts w:hint="eastAsia"/>
          <w:b/>
          <w:color w:val="ff0000"/>
          <w:sz w:val="28"/>
          <w:szCs w:val="28"/>
        </w:rPr>
      </w:r>
      <w:r/>
    </w:p>
    <w:p>
      <w:pPr>
        <w:pStyle w:val="1000"/>
        <w:ind w:firstLine="0"/>
        <w:spacing w:before="0" w:after="0"/>
        <w:rPr>
          <w:rFonts w:hint="eastAsia" w:ascii="宋体" w:hAnsi="宋体"/>
        </w:rPr>
      </w:pPr>
      <w:r>
        <w:rPr>
          <w:rFonts w:hint="eastAsia" w:ascii="宋体" w:hAnsi="宋体"/>
        </w:rPr>
      </w:r>
      <w:r/>
    </w:p>
    <w:p>
      <w:pPr>
        <w:pStyle w:val="1000"/>
        <w:ind w:firstLine="0"/>
        <w:spacing w:before="0" w:after="0"/>
        <w:rPr>
          <w:rFonts w:hint="eastAsia" w:ascii="宋体" w:hAnsi="宋体"/>
        </w:rPr>
      </w:pPr>
      <w:r>
        <w:rPr>
          <w:rFonts w:hint="eastAsia" w:ascii="宋体" w:hAnsi="宋体"/>
        </w:rPr>
      </w:r>
      <w:r/>
    </w:p>
    <w:p>
      <w:pPr>
        <w:pStyle w:val="1000"/>
        <w:ind w:firstLine="0"/>
        <w:spacing w:before="0" w:after="0"/>
        <w:rPr>
          <w:rFonts w:hint="eastAsia" w:ascii="宋体" w:hAnsi="宋体"/>
        </w:rPr>
      </w:pPr>
      <w:r>
        <w:rPr>
          <w:rFonts w:hint="eastAsia" w:ascii="宋体" w:hAnsi="宋体"/>
        </w:rPr>
      </w:r>
      <w:r/>
    </w:p>
    <w:p>
      <w:pPr>
        <w:pStyle w:val="1000"/>
        <w:ind w:firstLine="0"/>
        <w:spacing w:before="0" w:after="0"/>
        <w:rPr>
          <w:rFonts w:hint="eastAsia" w:ascii="宋体" w:hAnsi="宋体"/>
        </w:rPr>
      </w:pPr>
      <w:r>
        <w:rPr>
          <w:rFonts w:hint="eastAsia" w:ascii="宋体" w:hAnsi="宋体"/>
        </w:rPr>
      </w:r>
      <w:r/>
    </w:p>
    <w:p>
      <w:pPr>
        <w:pStyle w:val="1000"/>
        <w:ind w:firstLine="0"/>
        <w:spacing w:before="0" w:after="0"/>
        <w:rPr>
          <w:rFonts w:hint="eastAsia" w:ascii="宋体" w:hAnsi="宋体"/>
        </w:rPr>
      </w:pPr>
      <w:r>
        <w:rPr>
          <w:rFonts w:hint="eastAsia" w:ascii="宋体" w:hAnsi="宋体"/>
        </w:rPr>
      </w:r>
      <w:r/>
    </w:p>
    <w:p>
      <w:pPr>
        <w:pStyle w:val="1000"/>
        <w:ind w:firstLine="0"/>
        <w:spacing w:before="0" w:after="0"/>
        <w:rPr>
          <w:rFonts w:hint="eastAsia" w:ascii="宋体" w:hAnsi="宋体"/>
        </w:rPr>
      </w:pPr>
      <w:r>
        <w:rPr>
          <w:rFonts w:hint="eastAsia" w:ascii="宋体" w:hAnsi="宋体"/>
        </w:rPr>
      </w:r>
      <w:r/>
    </w:p>
    <w:p>
      <w:pPr>
        <w:pStyle w:val="1000"/>
        <w:ind w:firstLine="0"/>
        <w:spacing w:before="0" w:after="0"/>
        <w:rPr>
          <w:rFonts w:hint="eastAsia" w:ascii="宋体" w:hAnsi="宋体"/>
        </w:rPr>
      </w:pPr>
      <w:r>
        <w:rPr>
          <w:rFonts w:hint="eastAsia" w:ascii="宋体" w:hAnsi="宋体"/>
        </w:rPr>
      </w:r>
      <w:r/>
    </w:p>
    <w:p>
      <w:pPr>
        <w:pStyle w:val="1000"/>
        <w:ind w:firstLine="0"/>
        <w:jc w:val="center"/>
        <w:rPr>
          <w:rFonts w:hint="eastAsia"/>
          <w:b/>
          <w:bCs/>
          <w:sz w:val="32"/>
        </w:rPr>
      </w:pPr>
      <w:r>
        <w:rPr>
          <w:rFonts w:hint="eastAsia"/>
          <w:b/>
          <w:bCs/>
          <w:sz w:val="32"/>
        </w:rPr>
        <w:t xml:space="preserve">江苏省政府采购中心</w:t>
      </w:r>
      <w:r>
        <w:rPr>
          <w:rFonts w:hint="eastAsia"/>
          <w:b/>
          <w:bCs/>
          <w:sz w:val="32"/>
        </w:rPr>
      </w:r>
      <w:r/>
    </w:p>
    <w:p>
      <w:pPr>
        <w:pStyle w:val="1000"/>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7</w:t>
      </w:r>
      <w:r>
        <w:rPr>
          <w:rFonts w:hint="eastAsia"/>
          <w:b/>
          <w:bCs/>
          <w:sz w:val="32"/>
        </w:rPr>
        <w:t xml:space="preserve">月</w:t>
      </w:r>
      <w:r>
        <w:rPr>
          <w:rFonts w:hint="eastAsia"/>
          <w:b/>
          <w:bCs/>
          <w:sz w:val="32"/>
        </w:rPr>
      </w:r>
      <w:r/>
    </w:p>
    <w:p>
      <w:pPr>
        <w:pStyle w:val="1000"/>
        <w:ind w:firstLine="0"/>
        <w:rPr>
          <w:rFonts w:hint="eastAsia"/>
          <w:u w:val="single"/>
        </w:rPr>
      </w:pPr>
      <w:r>
        <w:rPr>
          <w:rFonts w:hint="eastAsia"/>
        </w:rPr>
        <w:t xml:space="preserve">                        </w:t>
      </w:r>
      <w:r>
        <w:rPr>
          <w:rFonts w:hint="eastAsia"/>
          <w:u w:val="single"/>
        </w:rPr>
      </w:r>
      <w:r/>
    </w:p>
    <w:p>
      <w:pPr>
        <w:pStyle w:val="1000"/>
        <w:ind w:firstLine="0"/>
        <w:jc w:val="center"/>
        <w:rPr>
          <w:rFonts w:hint="eastAsia"/>
        </w:rPr>
      </w:pPr>
      <w:r>
        <w:rPr>
          <w:rFonts w:hint="eastAsia"/>
        </w:rPr>
      </w:r>
      <w:r/>
    </w:p>
    <w:p>
      <w:pPr>
        <w:pStyle w:val="887"/>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87"/>
        <w:spacing w:line="480" w:lineRule="auto"/>
        <w:rPr>
          <w:rFonts w:hint="eastAsia" w:ascii="仿宋_GB2312" w:hAnsi="Arial" w:eastAsia="仿宋_GB2312"/>
          <w:b/>
          <w:sz w:val="28"/>
        </w:rPr>
      </w:pPr>
      <w:r>
        <w:rPr>
          <w:rFonts w:hint="eastAsia" w:ascii="仿宋_GB2312" w:hAnsi="Arial" w:eastAsia="仿宋_GB2312"/>
          <w:b/>
          <w:sz w:val="28"/>
        </w:rPr>
      </w:r>
      <w:r/>
    </w:p>
    <w:p>
      <w:pPr>
        <w:pStyle w:val="887"/>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8"/>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87"/>
        <w:ind w:firstLine="480"/>
        <w:spacing w:line="400" w:lineRule="exact"/>
        <w:rPr>
          <w:rFonts w:ascii="宋体" w:hAnsi="宋体"/>
          <w:sz w:val="24"/>
          <w:szCs w:val="24"/>
        </w:rPr>
      </w:pPr>
      <w:r>
        <w:rPr>
          <w:rFonts w:hint="eastAsia" w:ascii="宋体" w:hAnsi="宋体"/>
          <w:sz w:val="24"/>
          <w:szCs w:val="24"/>
        </w:rPr>
        <w:t xml:space="preserve">受扬州工业职业技术学院的委托，江苏省政府采购中心就扬州工业职业技术学院楼宇物业管理与服务项目(JSZC-320000-SCZX-G2026-0253)项目进行公开招标采购，欢迎符合条件的供应商投标。</w:t>
      </w:r>
      <w:r>
        <w:rPr>
          <w:rFonts w:ascii="宋体" w:hAnsi="宋体"/>
          <w:sz w:val="24"/>
          <w:szCs w:val="24"/>
        </w:rPr>
      </w:r>
      <w:r/>
    </w:p>
    <w:p>
      <w:pPr>
        <w:pStyle w:val="887"/>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87"/>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扬州工业职业技术学院楼宇物业管理与服务项目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2026  </w:t>
      </w:r>
      <w:r>
        <w:rPr>
          <w:rFonts w:hint="eastAsia" w:ascii="宋体" w:hAnsi="宋体"/>
          <w:bCs/>
          <w:sz w:val="24"/>
          <w:szCs w:val="24"/>
          <w:u w:val="single"/>
        </w:rPr>
        <w:t xml:space="preserve">年 7 月 31 日  9  点30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0"/>
        <w:ind w:firstLine="498"/>
        <w:spacing w:before="145" w:after="145" w:line="400" w:lineRule="exact"/>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887"/>
        <w:ind w:firstLine="480"/>
        <w:spacing w:line="400" w:lineRule="exact"/>
        <w:rPr>
          <w:rFonts w:ascii="宋体" w:hAnsi="宋体"/>
          <w:sz w:val="24"/>
          <w:szCs w:val="24"/>
        </w:rPr>
      </w:pPr>
      <w:r>
        <w:rPr>
          <w:rFonts w:hint="eastAsia" w:ascii="宋体" w:hAnsi="宋体"/>
          <w:sz w:val="24"/>
          <w:szCs w:val="24"/>
        </w:rPr>
        <w:t xml:space="preserve">1.采购编号：JSZC-320000-SCZX-G20</w:t>
      </w:r>
      <w:r>
        <w:rPr>
          <w:rFonts w:hint="eastAsia" w:ascii="宋体" w:hAnsi="宋体"/>
          <w:sz w:val="24"/>
          <w:szCs w:val="24"/>
          <w:lang w:val="en-US" w:eastAsia="zh-CN"/>
        </w:rPr>
        <w:t xml:space="preserve">26</w:t>
      </w:r>
      <w:r>
        <w:rPr>
          <w:rFonts w:hint="eastAsia" w:ascii="宋体" w:hAnsi="宋体"/>
          <w:sz w:val="24"/>
          <w:szCs w:val="24"/>
        </w:rPr>
        <w:t xml:space="preserve">-</w:t>
      </w:r>
      <w:r>
        <w:rPr>
          <w:rFonts w:hint="eastAsia" w:ascii="宋体" w:hAnsi="宋体"/>
          <w:sz w:val="24"/>
          <w:szCs w:val="24"/>
          <w:lang w:val="en-US" w:eastAsia="zh-CN"/>
        </w:rPr>
        <w:t xml:space="preserve">0253</w:t>
      </w:r>
      <w:r>
        <w:rPr>
          <w:rFonts w:hint="eastAsia" w:ascii="宋体" w:hAnsi="宋体"/>
          <w:sz w:val="24"/>
          <w:szCs w:val="24"/>
        </w:rPr>
        <w:t xml:space="preserve">  </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2.项目名称：扬州工业职业技术学院楼宇物业管理与服务项目</w:t>
      </w:r>
      <w:r>
        <w:rPr>
          <w:rFonts w:ascii="宋体" w:hAnsi="宋体"/>
          <w:sz w:val="24"/>
          <w:szCs w:val="24"/>
        </w:rPr>
      </w:r>
      <w:r/>
    </w:p>
    <w:p>
      <w:pPr>
        <w:pStyle w:val="887"/>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t xml:space="preserve">（</w:t>
      </w:r>
      <w:r>
        <w:rPr>
          <w:rFonts w:ascii="宋体" w:hAnsi="宋体"/>
          <w:sz w:val="24"/>
          <w:szCs w:val="24"/>
        </w:rPr>
        <w:t xml:space="preserve">按</w:t>
      </w:r>
      <w:r>
        <w:rPr>
          <w:rFonts w:ascii="宋体" w:hAnsi="宋体"/>
          <w:sz w:val="24"/>
          <w:szCs w:val="24"/>
        </w:rPr>
        <w:t xml:space="preserve">三年</w:t>
      </w:r>
      <w:r>
        <w:rPr>
          <w:rFonts w:ascii="宋体" w:hAnsi="宋体"/>
          <w:sz w:val="24"/>
          <w:szCs w:val="24"/>
        </w:rPr>
        <w:t xml:space="preserve">总价</w:t>
      </w:r>
      <w:r>
        <w:rPr>
          <w:rFonts w:ascii="宋体" w:hAnsi="宋体"/>
          <w:sz w:val="24"/>
          <w:szCs w:val="24"/>
        </w:rPr>
        <w:t xml:space="preserve">）</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887"/>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87"/>
              <w:jc w:val="center"/>
              <w:spacing w:line="400" w:lineRule="exact"/>
              <w:rPr>
                <w:rFonts w:ascii="宋体" w:hAnsi="宋体" w:eastAsia="宋体"/>
                <w:lang w:val="en-US" w:eastAsia="zh-CN"/>
              </w:rPr>
            </w:pPr>
            <w:r>
              <w:rPr>
                <w:rFonts w:hint="eastAsia" w:ascii="宋体" w:hAnsi="宋体"/>
                <w:lang w:val="en-US" w:eastAsia="zh-CN"/>
              </w:rPr>
              <w:t xml:space="preserve">456</w:t>
            </w:r>
            <w:r>
              <w:rPr>
                <w:rFonts w:ascii="宋体" w:hAnsi="宋体" w:eastAsia="宋体"/>
                <w:lang w:val="en-US" w:eastAsia="zh-CN"/>
              </w:rPr>
            </w:r>
            <w:r/>
          </w:p>
        </w:tc>
      </w:tr>
      <w:tr>
        <w:trPr/>
        <w:tc>
          <w:tcPr>
            <w:tcW w:w="1148" w:type="dxa"/>
            <w:vAlign w:val="top"/>
            <w:textDirection w:val="lrTb"/>
            <w:noWrap w:val="false"/>
          </w:tcPr>
          <w:p>
            <w:pPr>
              <w:pStyle w:val="887"/>
              <w:jc w:val="center"/>
              <w:spacing w:line="400" w:lineRule="exact"/>
              <w:rPr>
                <w:rFonts w:ascii="宋体" w:hAnsi="宋体"/>
              </w:rPr>
            </w:pPr>
            <w:r>
              <w:rPr>
                <w:rFonts w:hint="eastAsia" w:ascii="宋体" w:hAnsi="宋体"/>
              </w:rPr>
              <w:t xml:space="preserve">2</w:t>
            </w:r>
            <w:r>
              <w:rPr>
                <w:rFonts w:ascii="宋体" w:hAnsi="宋体"/>
              </w:rPr>
            </w:r>
            <w:r/>
          </w:p>
        </w:tc>
        <w:tc>
          <w:tcPr>
            <w:tcW w:w="2800" w:type="dxa"/>
            <w:vAlign w:val="top"/>
            <w:textDirection w:val="lrTb"/>
            <w:noWrap w:val="false"/>
          </w:tcPr>
          <w:p>
            <w:pPr>
              <w:pStyle w:val="887"/>
              <w:jc w:val="center"/>
              <w:spacing w:line="400" w:lineRule="exact"/>
              <w:rPr>
                <w:rFonts w:ascii="宋体" w:hAnsi="宋体" w:eastAsia="宋体"/>
                <w:lang w:val="en-US" w:eastAsia="zh-CN"/>
              </w:rPr>
            </w:pPr>
            <w:r>
              <w:rPr>
                <w:rFonts w:hint="eastAsia" w:ascii="宋体" w:hAnsi="宋体"/>
                <w:lang w:val="en-US" w:eastAsia="zh-CN"/>
              </w:rPr>
              <w:t xml:space="preserve">456</w:t>
            </w:r>
            <w:r>
              <w:rPr>
                <w:rFonts w:ascii="宋体" w:hAnsi="宋体" w:eastAsia="宋体"/>
                <w:lang w:val="en-US" w:eastAsia="zh-CN"/>
              </w:rPr>
            </w:r>
            <w:r/>
          </w:p>
        </w:tc>
      </w:tr>
    </w:tbl>
    <w:p>
      <w:pPr>
        <w:pStyle w:val="887"/>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rPr>
          <w:rFonts w:hint="eastAsia" w:ascii="方正魏碑_GBK" w:hAnsi="方正魏碑_GBK" w:eastAsia="方正魏碑_GBK" w:cs="方正魏碑_GBK"/>
          <w:color w:val="000000"/>
          <w:sz w:val="24"/>
          <w:szCs w:val="24"/>
        </w:rPr>
      </w:r>
      <w:r>
        <w:rPr>
          <w:rFonts w:ascii="宋体" w:hAnsi="宋体"/>
          <w:sz w:val="24"/>
          <w:szCs w:val="24"/>
        </w:rPr>
        <w:t xml:space="preserve">（</w:t>
      </w:r>
      <w:r>
        <w:rPr>
          <w:rFonts w:ascii="宋体" w:hAnsi="宋体"/>
          <w:sz w:val="24"/>
          <w:szCs w:val="24"/>
        </w:rPr>
        <w:t xml:space="preserve">按</w:t>
      </w:r>
      <w:r>
        <w:rPr>
          <w:rFonts w:ascii="宋体" w:hAnsi="宋体"/>
          <w:sz w:val="24"/>
          <w:szCs w:val="24"/>
        </w:rPr>
        <w:t xml:space="preserve">三年</w:t>
      </w:r>
      <w:r>
        <w:rPr>
          <w:rFonts w:ascii="宋体" w:hAnsi="宋体"/>
          <w:sz w:val="24"/>
          <w:szCs w:val="24"/>
        </w:rPr>
        <w:t xml:space="preserve">总价</w:t>
      </w:r>
      <w:r>
        <w:rPr>
          <w:rFonts w:ascii="宋体" w:hAnsi="宋体"/>
          <w:sz w:val="24"/>
          <w:szCs w:val="24"/>
        </w:rPr>
        <w:t xml:space="preserve">）</w:t>
      </w:r>
      <w:r>
        <w:rPr>
          <w:rFonts w:hint="eastAsia" w:ascii="方正魏碑_GBK" w:hAnsi="方正魏碑_GBK" w:eastAsia="方正魏碑_GBK" w:cs="方正魏碑_GBK"/>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采购</w:t>
            </w:r>
            <w:r>
              <w:rPr>
                <w:rFonts w:hint="eastAsia" w:ascii="方正魏碑_GBK" w:hAnsi="方正魏碑_GBK" w:eastAsia="方正魏碑_GBK" w:cs="方正魏碑_GBK"/>
                <w:color w:val="000000"/>
                <w:sz w:val="24"/>
                <w:szCs w:val="24"/>
              </w:rPr>
            </w:r>
            <w:r/>
          </w:p>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包号</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最高限价（人民币：万元）</w:t>
            </w:r>
            <w:r>
              <w:rPr>
                <w:rFonts w:hint="eastAsia" w:ascii="方正魏碑_GBK" w:hAnsi="方正魏碑_GBK" w:eastAsia="方正魏碑_GBK" w:cs="方正魏碑_GBK"/>
                <w:color w:val="000000"/>
                <w:sz w:val="24"/>
                <w:szCs w:val="24"/>
              </w:rPr>
            </w:r>
            <w:r/>
          </w:p>
        </w:tc>
      </w:tr>
      <w:tr>
        <w:trPr/>
        <w:tc>
          <w:tcPr>
            <w:tcW w:w="1148" w:type="dxa"/>
            <w:vAlign w:val="top"/>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887"/>
              <w:jc w:val="center"/>
              <w:spacing w:line="0" w:lineRule="atLeast"/>
              <w:rPr>
                <w:rFonts w:ascii="方正魏碑_GBK" w:hAnsi="方正魏碑_GBK" w:eastAsia="方正魏碑_GBK" w:cs="方正魏碑_GBK"/>
                <w:color w:val="000000"/>
                <w:sz w:val="24"/>
                <w:szCs w:val="24"/>
                <w:lang w:val="en-US" w:eastAsia="zh-CN"/>
              </w:rPr>
            </w:pPr>
            <w:r>
              <w:rPr>
                <w:rFonts w:hint="eastAsia" w:ascii="方正魏碑_GBK" w:hAnsi="方正魏碑_GBK" w:eastAsia="方正魏碑_GBK" w:cs="方正魏碑_GBK"/>
                <w:color w:val="000000"/>
                <w:sz w:val="24"/>
                <w:szCs w:val="24"/>
                <w:lang w:val="en-US" w:eastAsia="zh-CN"/>
              </w:rPr>
              <w:t xml:space="preserve">456</w:t>
            </w:r>
            <w:r>
              <w:rPr>
                <w:rFonts w:ascii="方正魏碑_GBK" w:hAnsi="方正魏碑_GBK" w:eastAsia="方正魏碑_GBK" w:cs="方正魏碑_GBK"/>
                <w:color w:val="000000"/>
                <w:sz w:val="24"/>
                <w:szCs w:val="24"/>
                <w:lang w:val="en-US" w:eastAsia="zh-CN"/>
              </w:rPr>
            </w:r>
            <w:r/>
          </w:p>
        </w:tc>
      </w:tr>
      <w:tr>
        <w:trPr/>
        <w:tc>
          <w:tcPr>
            <w:tcW w:w="1148" w:type="dxa"/>
            <w:vAlign w:val="top"/>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2</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887"/>
              <w:jc w:val="center"/>
              <w:spacing w:line="0" w:lineRule="atLeast"/>
              <w:rPr>
                <w:rFonts w:ascii="方正魏碑_GBK" w:hAnsi="方正魏碑_GBK" w:eastAsia="方正魏碑_GBK" w:cs="方正魏碑_GBK"/>
                <w:color w:val="000000"/>
                <w:sz w:val="24"/>
                <w:szCs w:val="24"/>
                <w:lang w:val="en-US" w:eastAsia="zh-CN"/>
              </w:rPr>
            </w:pPr>
            <w:r>
              <w:rPr>
                <w:rFonts w:hint="eastAsia" w:ascii="方正魏碑_GBK" w:hAnsi="方正魏碑_GBK" w:eastAsia="方正魏碑_GBK" w:cs="方正魏碑_GBK"/>
                <w:color w:val="000000"/>
                <w:sz w:val="24"/>
                <w:szCs w:val="24"/>
                <w:lang w:val="en-US" w:eastAsia="zh-CN"/>
              </w:rPr>
              <w:t xml:space="preserve">456</w:t>
            </w:r>
            <w:r>
              <w:rPr>
                <w:rFonts w:ascii="方正魏碑_GBK" w:hAnsi="方正魏碑_GBK" w:eastAsia="方正魏碑_GBK" w:cs="方正魏碑_GBK"/>
                <w:color w:val="000000"/>
                <w:sz w:val="24"/>
                <w:szCs w:val="24"/>
                <w:lang w:val="en-US" w:eastAsia="zh-CN"/>
              </w:rPr>
            </w:r>
            <w:r/>
          </w:p>
        </w:tc>
      </w:tr>
    </w:tbl>
    <w:p>
      <w:pPr>
        <w:pStyle w:val="887"/>
        <w:ind w:firstLine="480"/>
        <w:spacing w:line="400" w:lineRule="exact"/>
        <w:rPr>
          <w:rFonts w:ascii="宋体" w:hAnsi="宋体"/>
          <w:sz w:val="24"/>
          <w:szCs w:val="24"/>
          <w:u w:val="single"/>
        </w:rPr>
      </w:pPr>
      <w:r>
        <w:rPr>
          <w:rFonts w:hint="eastAsia" w:ascii="宋体" w:hAnsi="宋体"/>
          <w:sz w:val="24"/>
          <w:szCs w:val="24"/>
        </w:rPr>
        <w:t xml:space="preserve">5.采购需求（简介）：扬州工业职业技术学院楼宇物业管理与服务</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87"/>
        <w:ind w:firstLine="480"/>
        <w:spacing w:line="400" w:lineRule="exact"/>
        <w:rPr>
          <w:rFonts w:ascii="宋体" w:hAnsi="宋体"/>
          <w:sz w:val="24"/>
          <w:szCs w:val="24"/>
          <w:u w:val="single"/>
        </w:rPr>
      </w:pPr>
      <w:r>
        <w:rPr>
          <w:rFonts w:hint="eastAsia" w:ascii="宋体" w:hAnsi="宋体"/>
          <w:sz w:val="24"/>
          <w:szCs w:val="24"/>
        </w:rPr>
        <w:t xml:space="preserve">6.合同履行期限：服务期3年，合同一年一签，首签合同服务满一年考核合格后，续签第二年合同服务，第二年考核合格后，方可续签第三年度合同，如考核不合格，学校可拒绝续签合同，服务终止。物业服务入场时间：分包1：文汇楼、高桥楼、真州楼、大学生活动中心、古津楼、体育馆(含看台)和西体育场,2026年8月10日；分包2：自清楼、维扬楼、文峰楼、华扬楼、芸台楼、文筑馆和东体育场,2026年8月10日。</w:t>
      </w:r>
      <w:r>
        <w:rPr>
          <w:rFonts w:ascii="宋体" w:hAnsi="宋体"/>
          <w:sz w:val="24"/>
          <w:szCs w:val="24"/>
          <w:u w:val="single"/>
        </w:rPr>
      </w:r>
      <w:r/>
    </w:p>
    <w:p>
      <w:pPr>
        <w:pStyle w:val="890"/>
        <w:ind w:firstLine="498"/>
        <w:spacing w:before="145" w:after="145" w:line="400" w:lineRule="exact"/>
      </w:pPr>
      <w:r/>
      <w:bookmarkStart w:id="12" w:name="_Toc35393622"/>
      <w:r/>
      <w:bookmarkStart w:id="13" w:name="_Toc38985264"/>
      <w:r/>
      <w:bookmarkStart w:id="14" w:name="_Toc28359003"/>
      <w:r/>
      <w:bookmarkStart w:id="15" w:name="_Toc28359080"/>
      <w:r/>
      <w:bookmarkStart w:id="16" w:name="_Toc35393791"/>
      <w:r>
        <w:rPr>
          <w:rFonts w:hint="eastAsia"/>
        </w:rPr>
        <w:t xml:space="preserve">二、申请人的资格要求：</w:t>
      </w:r>
      <w:bookmarkEnd w:id="12"/>
      <w:r/>
      <w:bookmarkEnd w:id="13"/>
      <w:r/>
      <w:bookmarkEnd w:id="14"/>
      <w:r/>
      <w:bookmarkEnd w:id="15"/>
      <w:r/>
      <w:bookmarkEnd w:id="16"/>
      <w:r/>
      <w:r/>
    </w:p>
    <w:p>
      <w:pPr>
        <w:pStyle w:val="887"/>
        <w:ind w:firstLine="480"/>
        <w:spacing w:line="400" w:lineRule="exact"/>
        <w:rPr>
          <w:rFonts w:hint="eastAsia" w:ascii="宋体" w:hAnsi="宋体"/>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87"/>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87"/>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887"/>
              <w:jc w:val="center"/>
              <w:spacing w:line="400" w:lineRule="exact"/>
              <w:rPr>
                <w:rFonts w:hint="eastAsia" w:ascii="宋体" w:hAnsi="宋体"/>
                <w:lang w:val="en-US" w:eastAsia="zh-CN"/>
              </w:rPr>
            </w:pPr>
            <w:r>
              <w:rPr>
                <w:rFonts w:hint="eastAsia" w:ascii="宋体" w:hAnsi="宋体"/>
                <w:lang w:val="en-US" w:eastAsia="zh-CN"/>
              </w:rPr>
              <w:t xml:space="preserve">1</w:t>
            </w:r>
            <w:r>
              <w:rPr>
                <w:rFonts w:hint="eastAsia" w:ascii="宋体" w:hAnsi="宋体"/>
                <w:lang w:val="en-US" w:eastAsia="zh-CN"/>
              </w:rPr>
            </w:r>
            <w:r/>
          </w:p>
        </w:tc>
        <w:tc>
          <w:tcPr>
            <w:tcW w:w="2968"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否</w:t>
            </w:r>
            <w:r>
              <w:rPr>
                <w:rFonts w:hint="eastAsia" w:ascii="宋体" w:hAnsi="宋体"/>
              </w:rPr>
            </w:r>
            <w:r/>
          </w:p>
        </w:tc>
        <w:tc>
          <w:tcPr>
            <w:tcW w:w="3191"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887"/>
              <w:jc w:val="center"/>
              <w:spacing w:line="400" w:lineRule="exact"/>
              <w:rPr>
                <w:rFonts w:hint="eastAsia" w:ascii="宋体" w:hAnsi="宋体" w:eastAsia="宋体"/>
                <w:lang w:eastAsia="zh-CN"/>
              </w:rPr>
            </w:pPr>
            <w:r>
              <w:rPr>
                <w:rFonts w:hint="eastAsia" w:ascii="宋体" w:hAnsi="宋体"/>
                <w:lang w:val="en-US" w:eastAsia="zh-CN"/>
              </w:rPr>
              <w:t xml:space="preserve">2</w:t>
            </w:r>
            <w:r>
              <w:rPr>
                <w:rFonts w:hint="eastAsia" w:ascii="宋体" w:hAnsi="宋体" w:eastAsia="宋体"/>
                <w:lang w:eastAsia="zh-CN"/>
              </w:rPr>
            </w:r>
            <w:r/>
          </w:p>
        </w:tc>
        <w:tc>
          <w:tcPr>
            <w:tcW w:w="2968" w:type="dxa"/>
            <w:vAlign w:val="top"/>
            <w:textDirection w:val="lrTb"/>
            <w:noWrap w:val="false"/>
          </w:tcPr>
          <w:p>
            <w:pPr>
              <w:pStyle w:val="887"/>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887"/>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887"/>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887"/>
              <w:jc w:val="center"/>
              <w:spacing w:line="400" w:lineRule="exact"/>
              <w:rPr>
                <w:rFonts w:ascii="宋体" w:hAnsi="宋体"/>
              </w:rPr>
            </w:pPr>
            <w:r>
              <w:rPr>
                <w:rFonts w:hint="eastAsia" w:ascii="宋体" w:hAnsi="宋体"/>
              </w:rPr>
              <w:t xml:space="preserve">/</w:t>
            </w:r>
            <w:r>
              <w:rPr>
                <w:rFonts w:ascii="宋体" w:hAnsi="宋体"/>
              </w:rPr>
            </w:r>
            <w:r/>
          </w:p>
        </w:tc>
      </w:tr>
    </w:tbl>
    <w:p>
      <w:pPr>
        <w:pStyle w:val="887"/>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87"/>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87"/>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90"/>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87"/>
        <w:ind w:firstLine="480"/>
        <w:spacing w:line="400" w:lineRule="exact"/>
        <w:rPr>
          <w:rFonts w:ascii="宋体" w:hAnsi="宋体"/>
          <w:bCs/>
          <w:sz w:val="24"/>
          <w:szCs w:val="24"/>
          <w:u w:val="single"/>
        </w:rPr>
      </w:pPr>
      <w:r>
        <w:rPr>
          <w:rFonts w:hint="eastAsia" w:ascii="宋体" w:hAnsi="宋体"/>
          <w:bCs/>
          <w:sz w:val="24"/>
          <w:szCs w:val="24"/>
          <w:u w:val="single"/>
        </w:rPr>
        <w:t xml:space="preserve">1.  2026  年 7 月 31 日  9  点  30  分</w:t>
      </w:r>
      <w:r>
        <w:rPr>
          <w:rFonts w:hint="eastAsia" w:ascii="宋体" w:hAnsi="宋体"/>
          <w:bCs/>
          <w:sz w:val="24"/>
          <w:szCs w:val="24"/>
        </w:rPr>
        <w:t xml:space="preserve">（北京时间）</w:t>
      </w:r>
      <w:r>
        <w:rPr>
          <w:rFonts w:ascii="宋体" w:hAnsi="宋体"/>
          <w:bCs/>
          <w:sz w:val="24"/>
          <w:szCs w:val="24"/>
          <w:u w:val="single"/>
        </w:rPr>
      </w:r>
      <w:r/>
    </w:p>
    <w:p>
      <w:pPr>
        <w:pStyle w:val="887"/>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87"/>
        <w:ind w:firstLine="498"/>
        <w:keepLines/>
        <w:keepNext/>
        <w:spacing w:before="145" w:after="145" w:line="360" w:lineRule="auto"/>
        <w:rPr>
          <w:b/>
          <w:bCs/>
          <w:color w:val="000000"/>
          <w:sz w:val="32"/>
          <w:szCs w:val="32"/>
        </w:rPr>
        <w:outlineLvl w:val="2"/>
      </w:pPr>
      <w:r/>
      <w:bookmarkStart w:id="27" w:name="_Toc38985267"/>
      <w:r/>
      <w:bookmarkStart w:id="28" w:name="_Toc28359007"/>
      <w:r/>
      <w:bookmarkStart w:id="29" w:name="_Toc35393794"/>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87"/>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890"/>
        <w:ind w:firstLine="498"/>
        <w:spacing w:before="145" w:after="145" w:line="400" w:lineRule="exact"/>
      </w:pPr>
      <w:r/>
      <w:bookmarkStart w:id="32" w:name="_Toc35393795"/>
      <w:r/>
      <w:bookmarkStart w:id="33" w:name="_Toc38985268"/>
      <w:r/>
      <w:bookmarkStart w:id="34" w:name="_Toc35393626"/>
      <w:r>
        <w:rPr>
          <w:rFonts w:hint="eastAsia"/>
        </w:rPr>
        <w:t xml:space="preserve">六、其他补充事宜</w:t>
      </w:r>
      <w:bookmarkEnd w:id="32"/>
      <w:r/>
      <w:bookmarkEnd w:id="33"/>
      <w:r/>
      <w:bookmarkEnd w:id="34"/>
      <w:r/>
      <w:r/>
    </w:p>
    <w:p>
      <w:pPr>
        <w:pStyle w:val="887"/>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0"/>
        <w:ind w:firstLine="498"/>
        <w:spacing w:before="145" w:after="145" w:line="400" w:lineRule="exact"/>
      </w:pPr>
      <w:r/>
      <w:bookmarkStart w:id="35" w:name="_Toc38985269"/>
      <w:r/>
      <w:bookmarkStart w:id="36" w:name="_Toc28359085"/>
      <w:r/>
      <w:bookmarkStart w:id="37" w:name="_Toc35393627"/>
      <w:r/>
      <w:bookmarkStart w:id="38" w:name="_Toc28359008"/>
      <w:r/>
      <w:bookmarkStart w:id="39" w:name="_Toc35393796"/>
      <w:r>
        <w:rPr>
          <w:rFonts w:hint="eastAsia"/>
        </w:rPr>
        <w:t xml:space="preserve">七、本次招标联系方式</w:t>
      </w:r>
      <w:bookmarkEnd w:id="35"/>
      <w:r/>
      <w:bookmarkEnd w:id="36"/>
      <w:r/>
      <w:bookmarkEnd w:id="37"/>
      <w:r/>
      <w:bookmarkEnd w:id="38"/>
      <w:r/>
      <w:bookmarkEnd w:id="39"/>
      <w:r/>
      <w:r/>
    </w:p>
    <w:p>
      <w:pPr>
        <w:pStyle w:val="887"/>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87"/>
        <w:ind w:left="1079" w:hanging="300"/>
        <w:jc w:val="left"/>
        <w:spacing w:line="400" w:lineRule="exact"/>
        <w:rPr>
          <w:rFonts w:hint="eastAsia" w:ascii="宋体" w:hAnsi="宋体"/>
          <w:sz w:val="24"/>
          <w:szCs w:val="24"/>
          <w:u w:val="single"/>
        </w:rPr>
      </w:pPr>
      <w:r/>
      <w:bookmarkStart w:id="40" w:name="_Toc28359009"/>
      <w:r/>
      <w:bookmarkStart w:id="41" w:name="_Toc28359086"/>
      <w:r>
        <w:rPr>
          <w:rFonts w:hint="eastAsia" w:ascii="宋体" w:hAnsi="宋体"/>
          <w:sz w:val="24"/>
          <w:szCs w:val="24"/>
        </w:rPr>
        <w:t xml:space="preserve">名 称：</w:t>
      </w:r>
      <w:r>
        <w:rPr>
          <w:rFonts w:hint="eastAsia" w:ascii="宋体" w:hAnsi="宋体"/>
          <w:sz w:val="24"/>
          <w:szCs w:val="24"/>
          <w:u w:val="single"/>
        </w:rPr>
        <w:t xml:space="preserve">扬州工业职业技术学院</w:t>
      </w:r>
      <w:r>
        <w:rPr>
          <w:rFonts w:hint="eastAsia" w:ascii="宋体" w:hAnsi="宋体"/>
          <w:sz w:val="24"/>
          <w:szCs w:val="24"/>
          <w:u w:val="single"/>
        </w:rPr>
      </w:r>
      <w:r/>
    </w:p>
    <w:p>
      <w:pPr>
        <w:pStyle w:val="887"/>
        <w:ind w:left="1079" w:hanging="300"/>
        <w:jc w:val="left"/>
        <w:spacing w:line="400" w:lineRule="exact"/>
        <w:rPr>
          <w:rFonts w:hint="eastAsia"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扬州市邗江区华扬西路199号</w:t>
      </w:r>
      <w:r>
        <w:rPr>
          <w:rFonts w:hint="eastAsia" w:ascii="宋体" w:hAnsi="宋体"/>
          <w:sz w:val="24"/>
          <w:szCs w:val="24"/>
          <w:u w:val="single"/>
        </w:rPr>
      </w:r>
      <w:r/>
    </w:p>
    <w:p>
      <w:pPr>
        <w:pStyle w:val="887"/>
        <w:ind w:left="1079" w:hanging="300"/>
        <w:jc w:val="left"/>
        <w:spacing w:line="400" w:lineRule="exact"/>
        <w:rPr>
          <w:rFonts w:ascii="宋体" w:hAnsi="宋体" w:eastAsia="宋体"/>
          <w:sz w:val="24"/>
          <w:szCs w:val="24"/>
          <w:u w:val="single"/>
          <w:lang w:val="en-US" w:eastAsia="zh-CN"/>
        </w:rPr>
      </w:pPr>
      <w:r>
        <w:rPr>
          <w:rFonts w:hint="eastAsia" w:ascii="宋体" w:hAnsi="宋体"/>
          <w:sz w:val="24"/>
          <w:szCs w:val="24"/>
        </w:rPr>
        <w:t xml:space="preserve">联系人：</w:t>
      </w:r>
      <w:r>
        <w:rPr>
          <w:rFonts w:hint="eastAsia" w:ascii="宋体" w:hAnsi="宋体"/>
          <w:sz w:val="24"/>
          <w:szCs w:val="24"/>
          <w:u w:val="single"/>
        </w:rPr>
        <w:t xml:space="preserve">周泳</w:t>
      </w:r>
      <w:r>
        <w:rPr>
          <w:rFonts w:hint="eastAsia" w:ascii="宋体" w:hAnsi="宋体"/>
          <w:sz w:val="24"/>
          <w:szCs w:val="24"/>
          <w:u w:val="single"/>
          <w:lang w:val="en-US" w:eastAsia="zh-CN"/>
        </w:rPr>
        <w:t xml:space="preserve">     </w:t>
      </w:r>
      <w:r>
        <w:rPr>
          <w:rFonts w:ascii="宋体" w:hAnsi="宋体" w:eastAsia="宋体"/>
          <w:sz w:val="24"/>
          <w:szCs w:val="24"/>
          <w:u w:val="single"/>
          <w:lang w:val="en-US" w:eastAsia="zh-CN"/>
        </w:rPr>
      </w:r>
      <w:r/>
    </w:p>
    <w:p>
      <w:pPr>
        <w:pStyle w:val="887"/>
        <w:ind w:left="1079" w:hanging="300"/>
        <w:jc w:val="left"/>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0514-87433358</w:t>
      </w:r>
      <w:r>
        <w:rPr>
          <w:rFonts w:hint="eastAsia" w:ascii="宋体" w:hAnsi="宋体"/>
          <w:sz w:val="24"/>
          <w:szCs w:val="24"/>
          <w:u w:val="single"/>
        </w:rPr>
      </w:r>
      <w:r/>
    </w:p>
    <w:p>
      <w:pPr>
        <w:pStyle w:val="887"/>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87"/>
        <w:ind w:firstLine="480"/>
        <w:jc w:val="left"/>
        <w:spacing w:line="500" w:lineRule="exact"/>
        <w:rPr>
          <w:rFonts w:ascii="宋体" w:hAnsi="宋体"/>
          <w:sz w:val="24"/>
          <w:szCs w:val="24"/>
          <w:u w:val="single"/>
        </w:rPr>
      </w:pPr>
      <w:r/>
      <w:bookmarkStart w:id="42" w:name="_Toc28359010"/>
      <w:r/>
      <w:bookmarkStart w:id="43" w:name="_Toc28359087"/>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u w:val="single"/>
        </w:rPr>
      </w:r>
      <w:r/>
    </w:p>
    <w:p>
      <w:pPr>
        <w:pStyle w:val="887"/>
        <w:ind w:firstLine="480"/>
        <w:jc w:val="left"/>
        <w:spacing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rPr>
          <w:rFonts w:ascii="宋体" w:hAnsi="宋体"/>
          <w:sz w:val="24"/>
          <w:szCs w:val="24"/>
          <w:u w:val="single"/>
        </w:rPr>
      </w:r>
      <w:r/>
    </w:p>
    <w:p>
      <w:pPr>
        <w:pStyle w:val="887"/>
        <w:ind w:firstLine="48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025-83668556</w:t>
      </w:r>
      <w:r>
        <w:rPr>
          <w:rFonts w:ascii="宋体" w:hAnsi="宋体"/>
          <w:sz w:val="24"/>
          <w:szCs w:val="24"/>
        </w:rPr>
      </w:r>
      <w:r/>
    </w:p>
    <w:p>
      <w:pPr>
        <w:pStyle w:val="890"/>
        <w:ind w:firstLine="498"/>
        <w:spacing w:before="145" w:after="145" w:line="400" w:lineRule="exact"/>
      </w:pPr>
      <w:r/>
      <w:bookmarkEnd w:id="42"/>
      <w:r/>
      <w:bookmarkEnd w:id="43"/>
      <w:r>
        <w:rPr>
          <w:rFonts w:hint="eastAsia"/>
        </w:rPr>
        <w:t xml:space="preserve">八、其他</w:t>
      </w:r>
      <w:r/>
    </w:p>
    <w:p>
      <w:pPr>
        <w:pStyle w:val="887"/>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rPr>
          <w:rFonts w:hint="eastAsia" w:ascii="宋体" w:hAnsi="宋体" w:cs="宋体"/>
          <w:color w:val="000000"/>
          <w:sz w:val="24"/>
          <w:szCs w:val="24"/>
        </w:rPr>
      </w:r>
      <w:r/>
    </w:p>
    <w:p>
      <w:pPr>
        <w:pStyle w:val="887"/>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s="宋体"/>
          <w:color w:val="000000"/>
          <w:sz w:val="24"/>
          <w:szCs w:val="24"/>
        </w:rPr>
      </w:r>
      <w:r/>
    </w:p>
    <w:p>
      <w:pPr>
        <w:pStyle w:val="887"/>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rPr>
          <w:rFonts w:hint="eastAsia" w:ascii="宋体" w:hAnsi="宋体" w:cs="宋体"/>
          <w:color w:val="000000"/>
          <w:sz w:val="24"/>
          <w:szCs w:val="24"/>
        </w:rPr>
      </w:r>
      <w:r/>
    </w:p>
    <w:p>
      <w:pPr>
        <w:pStyle w:val="887"/>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rPr>
          <w:rFonts w:hint="eastAsia" w:ascii="宋体" w:hAnsi="宋体" w:cs="宋体"/>
          <w:color w:val="000000"/>
          <w:sz w:val="24"/>
          <w:szCs w:val="24"/>
        </w:rPr>
      </w:r>
      <w:r/>
    </w:p>
    <w:p>
      <w:pPr>
        <w:pStyle w:val="887"/>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89"/>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0"/>
        <w:ind w:firstLine="498"/>
        <w:spacing w:before="145" w:after="145" w:line="400" w:lineRule="exact"/>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891"/>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87"/>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91"/>
        <w:ind w:firstLine="420"/>
        <w:spacing w:before="0" w:after="0" w:line="400" w:lineRule="exact"/>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891"/>
        <w:ind w:firstLine="422"/>
        <w:spacing w:before="0" w:after="0" w:line="400" w:lineRule="exact"/>
        <w:rPr>
          <w:rFonts w:hint="eastAsia" w:cs="Arial"/>
          <w:lang w:eastAsia="zh-CN"/>
        </w:rPr>
      </w:pPr>
      <w:r/>
      <w:bookmarkStart w:id="61" w:name="_Toc20823278"/>
      <w:r/>
      <w:bookmarkStart w:id="62" w:name="_Toc513029206"/>
      <w:r/>
      <w:bookmarkStart w:id="63" w:name="_Toc16938522"/>
      <w:r>
        <w:rPr>
          <w:rFonts w:hint="eastAsia" w:cs="Arial"/>
        </w:rPr>
        <w:t xml:space="preserve">3、适用法律</w:t>
      </w:r>
      <w:bookmarkEnd w:id="61"/>
      <w:r/>
      <w:bookmarkEnd w:id="62"/>
      <w:r/>
      <w:bookmarkEnd w:id="63"/>
      <w:r>
        <w:rPr>
          <w:rFonts w:hint="eastAsia" w:cs="Arial"/>
          <w:lang w:eastAsia="zh-CN"/>
        </w:rPr>
        <w:t xml:space="preserve">和标准</w:t>
      </w:r>
      <w:r>
        <w:rPr>
          <w:rFonts w:hint="eastAsia" w:cs="Arial"/>
          <w:lang w:eastAsia="zh-CN"/>
        </w:rPr>
      </w:r>
      <w:r/>
    </w:p>
    <w:p>
      <w:pPr>
        <w:pStyle w:val="887"/>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887"/>
        <w:ind w:firstLine="420"/>
        <w:spacing w:line="400" w:lineRule="exact"/>
        <w:rPr>
          <w:rFonts w:hint="eastAsia" w:ascii="宋体" w:hAnsi="宋体"/>
          <w:sz w:val="24"/>
        </w:rPr>
      </w:pPr>
      <w:r/>
      <w:bookmarkStart w:id="64" w:name="_Toc16938523"/>
      <w:r/>
      <w:bookmarkStart w:id="65" w:name="_Toc462564067"/>
      <w:r/>
      <w:bookmarkStart w:id="66" w:name="_Toc20823279"/>
      <w:r/>
      <w:bookmarkStart w:id="67" w:name="_Toc513029207"/>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891"/>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887"/>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887"/>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91"/>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87"/>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90"/>
        <w:ind w:firstLine="321"/>
        <w:spacing w:before="145" w:after="145" w:line="400" w:lineRule="exact"/>
        <w:rPr>
          <w:rFonts w:hint="eastAsia"/>
        </w:rPr>
      </w:pPr>
      <w:r/>
      <w:bookmarkStart w:id="68" w:name="_Toc16938525"/>
      <w:r/>
      <w:bookmarkStart w:id="69" w:name="_Toc513029209"/>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891"/>
        <w:ind w:firstLine="420"/>
        <w:spacing w:before="0" w:after="0" w:line="400" w:lineRule="exact"/>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887"/>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87"/>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87"/>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1"/>
        <w:ind w:firstLine="560"/>
        <w:spacing w:before="0" w:after="0" w:line="400" w:lineRule="exact"/>
        <w:rPr>
          <w:rFonts w:hint="eastAsia"/>
          <w:b w:val="0"/>
          <w:bCs w:val="0"/>
        </w:rPr>
      </w:pPr>
      <w:r/>
      <w:bookmarkStart w:id="75" w:name="_Toc16938528"/>
      <w:r/>
      <w:bookmarkStart w:id="76" w:name="_Toc20823284"/>
      <w:r/>
      <w:bookmarkStart w:id="77" w:name="_Toc513029212"/>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87"/>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87"/>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87"/>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90"/>
        <w:ind w:firstLine="482"/>
        <w:spacing w:before="145" w:after="145" w:line="400" w:lineRule="exact"/>
        <w:rPr>
          <w:rFonts w:hint="eastAsia"/>
        </w:rPr>
      </w:pPr>
      <w:r/>
      <w:bookmarkStart w:id="79" w:name="_Toc120614216"/>
      <w:r/>
      <w:bookmarkStart w:id="80" w:name="_Toc462564072"/>
      <w:r/>
      <w:bookmarkStart w:id="81" w:name="_Toc20823285"/>
      <w:r/>
      <w:bookmarkStart w:id="82" w:name="_Toc16938529"/>
      <w:r/>
      <w:bookmarkStart w:id="83" w:name="_Toc513029213"/>
      <w:r>
        <w:rPr>
          <w:rFonts w:hint="eastAsia"/>
        </w:rPr>
        <w:t xml:space="preserve">三、投标文件的编制</w:t>
      </w:r>
      <w:bookmarkEnd w:id="79"/>
      <w:r/>
      <w:bookmarkEnd w:id="80"/>
      <w:r/>
      <w:bookmarkEnd w:id="81"/>
      <w:r/>
      <w:bookmarkEnd w:id="82"/>
      <w:r/>
      <w:bookmarkEnd w:id="83"/>
      <w:r>
        <w:rPr>
          <w:rFonts w:hint="eastAsia"/>
        </w:rPr>
      </w:r>
      <w:r/>
    </w:p>
    <w:p>
      <w:pPr>
        <w:pStyle w:val="891"/>
        <w:ind w:firstLine="560"/>
        <w:spacing w:before="0" w:after="0" w:line="400" w:lineRule="exact"/>
        <w:rPr>
          <w:rFonts w:hint="eastAsia"/>
          <w:bCs w:val="0"/>
        </w:rPr>
      </w:pPr>
      <w:r/>
      <w:bookmarkStart w:id="84" w:name="_Toc20823286"/>
      <w:r/>
      <w:bookmarkStart w:id="85" w:name="_Toc462564073"/>
      <w:r/>
      <w:bookmarkStart w:id="86" w:name="_Toc16938530"/>
      <w:r/>
      <w:bookmarkStart w:id="87" w:name="_Toc513029214"/>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87"/>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87"/>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91"/>
        <w:ind w:firstLine="420"/>
        <w:spacing w:before="0" w:after="0" w:line="400" w:lineRule="exact"/>
        <w:rPr>
          <w:rFonts w:hint="eastAsia"/>
          <w:b w:val="0"/>
          <w:bCs w:val="0"/>
        </w:rPr>
      </w:pPr>
      <w:r/>
      <w:bookmarkStart w:id="88" w:name="_Toc513029215"/>
      <w:r/>
      <w:bookmarkStart w:id="89" w:name="_Toc462564074"/>
      <w:r/>
      <w:bookmarkStart w:id="90" w:name="_Toc16938531"/>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87"/>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887"/>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891"/>
        <w:ind w:firstLine="420"/>
        <w:spacing w:before="0" w:after="0" w:line="400" w:lineRule="exact"/>
        <w:rPr>
          <w:rFonts w:hint="eastAsia"/>
          <w:b w:val="0"/>
          <w:bCs w:val="0"/>
        </w:rPr>
      </w:pPr>
      <w:r/>
      <w:bookmarkStart w:id="92" w:name="_Hlt26670360"/>
      <w:r/>
      <w:bookmarkEnd w:id="92"/>
      <w:r/>
      <w:bookmarkStart w:id="93" w:name="_Hlt26954838"/>
      <w:r/>
      <w:bookmarkEnd w:id="93"/>
      <w:r/>
      <w:bookmarkStart w:id="94" w:name="_Hlt26668975"/>
      <w:r/>
      <w:bookmarkEnd w:id="94"/>
      <w:r/>
      <w:bookmarkStart w:id="95" w:name="_Toc14577357"/>
      <w:r/>
      <w:bookmarkStart w:id="96" w:name="_Toc513029219"/>
      <w:r/>
      <w:bookmarkStart w:id="97" w:name="_Toc49090509"/>
      <w:r/>
      <w:bookmarkStart w:id="98" w:name="_Toc14577354"/>
      <w:r/>
      <w:bookmarkStart w:id="99" w:name="_Toc49090507"/>
      <w:r/>
      <w:bookmarkStart w:id="100"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87"/>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891"/>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887"/>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1"/>
        <w:ind w:firstLine="420"/>
        <w:spacing w:before="0" w:after="0" w:line="400" w:lineRule="exact"/>
        <w:rPr>
          <w:rFonts w:hint="eastAsia"/>
          <w:b w:val="0"/>
          <w:bCs w:val="0"/>
        </w:rPr>
      </w:pPr>
      <w:r/>
      <w:bookmarkStart w:id="106" w:name="_Hlt26668983"/>
      <w:r/>
      <w:bookmarkEnd w:id="106"/>
      <w:r/>
      <w:bookmarkStart w:id="107" w:name="_Hlt26670425"/>
      <w:r/>
      <w:bookmarkEnd w:id="107"/>
      <w:r/>
      <w:bookmarkStart w:id="108" w:name="_Hlt26954848"/>
      <w:r/>
      <w:bookmarkEnd w:id="108"/>
      <w:r/>
      <w:bookmarkStart w:id="109" w:name="_Hlt26670482"/>
      <w:r/>
      <w:bookmarkEnd w:id="109"/>
      <w:r/>
      <w:bookmarkStart w:id="110" w:name="_Hlt26954846"/>
      <w:r/>
      <w:bookmarkEnd w:id="110"/>
      <w:r/>
      <w:bookmarkStart w:id="111" w:name="_Hlt26954842"/>
      <w:r/>
      <w:bookmarkEnd w:id="111"/>
      <w:r/>
      <w:bookmarkStart w:id="112" w:name="_Hlt26954731"/>
      <w:r/>
      <w:bookmarkEnd w:id="112"/>
      <w:r/>
      <w:bookmarkStart w:id="113" w:name="_Hlt26670403"/>
      <w:r/>
      <w:bookmarkEnd w:id="113"/>
      <w:r/>
      <w:bookmarkStart w:id="114" w:name="_Hlt26670486"/>
      <w:r/>
      <w:bookmarkEnd w:id="114"/>
      <w:r/>
      <w:bookmarkStart w:id="115" w:name="_Hlt26954844"/>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887"/>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87"/>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891"/>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887"/>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87"/>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1"/>
        <w:ind w:firstLine="420"/>
        <w:spacing w:before="0" w:after="0" w:line="400" w:lineRule="exact"/>
        <w:rPr>
          <w:rFonts w:hint="eastAsia"/>
          <w:b w:val="0"/>
          <w:bCs w:val="0"/>
        </w:rPr>
      </w:pPr>
      <w:r/>
      <w:bookmarkEnd w:id="116"/>
      <w:r/>
      <w:bookmarkEnd w:id="117"/>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87"/>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1"/>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887"/>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0"/>
        <w:ind w:firstLine="482"/>
        <w:spacing w:before="145" w:after="145" w:line="400" w:lineRule="exact"/>
        <w:rPr>
          <w:rFonts w:hint="eastAsia"/>
        </w:rPr>
      </w:pPr>
      <w:r/>
      <w:bookmarkStart w:id="123" w:name="_Hlt26954852"/>
      <w:r/>
      <w:bookmarkEnd w:id="123"/>
      <w:r/>
      <w:bookmarkStart w:id="124" w:name="_Hlt26954739"/>
      <w:r/>
      <w:bookmarkEnd w:id="124"/>
      <w:r/>
      <w:bookmarkStart w:id="125" w:name="_Toc20823296"/>
      <w:r/>
      <w:bookmarkStart w:id="126" w:name="_Toc16938540"/>
      <w:r/>
      <w:bookmarkStart w:id="127" w:name="_Toc513029224"/>
      <w:r/>
      <w:bookmarkStart w:id="128" w:name="_Toc120614217"/>
      <w:r>
        <w:rPr>
          <w:rFonts w:hint="eastAsia"/>
        </w:rPr>
        <w:t xml:space="preserve">四、投标文件的递交</w:t>
      </w:r>
      <w:bookmarkEnd w:id="125"/>
      <w:r/>
      <w:bookmarkEnd w:id="126"/>
      <w:r/>
      <w:bookmarkEnd w:id="127"/>
      <w:r/>
      <w:bookmarkEnd w:id="128"/>
      <w:r>
        <w:rPr>
          <w:rFonts w:hint="eastAsia"/>
        </w:rPr>
      </w:r>
      <w:r/>
    </w:p>
    <w:p>
      <w:pPr>
        <w:pStyle w:val="891"/>
        <w:ind w:firstLine="560"/>
        <w:spacing w:before="0" w:after="0" w:line="400" w:lineRule="exact"/>
        <w:rPr>
          <w:rFonts w:hint="eastAsia" w:ascii="黑体"/>
          <w:b w:val="0"/>
          <w:bCs w:val="0"/>
        </w:rPr>
      </w:pPr>
      <w:r/>
      <w:bookmarkStart w:id="129" w:name="_Toc513029225"/>
      <w:r/>
      <w:bookmarkStart w:id="130" w:name="_Toc20823297"/>
      <w:r/>
      <w:bookmarkStart w:id="131" w:name="_Toc462564084"/>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887"/>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991"/>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891"/>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887"/>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91"/>
        <w:ind w:firstLine="420"/>
        <w:spacing w:before="0" w:after="0" w:line="400" w:lineRule="exact"/>
        <w:rPr>
          <w:rFonts w:hint="eastAsia"/>
          <w:b w:val="0"/>
          <w:bCs w:val="0"/>
        </w:rPr>
      </w:pPr>
      <w:r/>
      <w:bookmarkStart w:id="136" w:name="_Toc513029227"/>
      <w:r/>
      <w:bookmarkStart w:id="137" w:name="_Toc16938543"/>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887"/>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91"/>
        <w:ind w:firstLine="420"/>
        <w:spacing w:before="0" w:after="0" w:line="400" w:lineRule="exact"/>
        <w:rPr>
          <w:rFonts w:hint="eastAsia"/>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87"/>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887"/>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887"/>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7"/>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887"/>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887"/>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90"/>
        <w:ind w:firstLine="482"/>
        <w:spacing w:before="145" w:after="145" w:line="400" w:lineRule="exact"/>
        <w:rPr>
          <w:rFonts w:hint="eastAsia"/>
        </w:rPr>
      </w:pPr>
      <w:r/>
      <w:bookmarkStart w:id="142" w:name="_Toc120614218"/>
      <w:r/>
      <w:bookmarkStart w:id="143" w:name="_Toc20823301"/>
      <w:r/>
      <w:bookmarkStart w:id="144" w:name="_Toc513029229"/>
      <w:r/>
      <w:bookmarkStart w:id="145" w:name="_Toc16938545"/>
      <w:r>
        <w:rPr>
          <w:rFonts w:hint="eastAsia"/>
        </w:rPr>
        <w:t xml:space="preserve">五、开标与评标</w:t>
      </w:r>
      <w:bookmarkEnd w:id="142"/>
      <w:r/>
      <w:bookmarkEnd w:id="143"/>
      <w:r/>
      <w:bookmarkEnd w:id="144"/>
      <w:r/>
      <w:bookmarkEnd w:id="145"/>
      <w:r>
        <w:rPr>
          <w:rFonts w:hint="eastAsia"/>
        </w:rPr>
      </w:r>
      <w:r/>
    </w:p>
    <w:p>
      <w:pPr>
        <w:pStyle w:val="891"/>
        <w:ind w:firstLine="420"/>
        <w:spacing w:before="0" w:after="0" w:line="400" w:lineRule="exact"/>
        <w:rPr>
          <w:rFonts w:hint="eastAsia"/>
          <w:b w:val="0"/>
          <w:bCs w:val="0"/>
        </w:rPr>
      </w:pPr>
      <w:r/>
      <w:bookmarkStart w:id="146" w:name="_Toc20823302"/>
      <w:r/>
      <w:bookmarkStart w:id="147" w:name="_Toc16938546"/>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87"/>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87"/>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1"/>
        <w:ind w:firstLine="420"/>
        <w:spacing w:before="0" w:after="0" w:line="400" w:lineRule="exact"/>
        <w:rPr>
          <w:rFonts w:hint="eastAsia"/>
          <w:b w:val="0"/>
          <w:bCs w:val="0"/>
        </w:rPr>
      </w:pPr>
      <w:r/>
      <w:bookmarkStart w:id="149" w:name="_Toc20823303"/>
      <w:r/>
      <w:bookmarkStart w:id="150" w:name="_Toc16938547"/>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887"/>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87"/>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rPr>
          <w:rFonts w:hint="eastAsia" w:ascii="宋体" w:hAnsi="宋体"/>
          <w:sz w:val="24"/>
          <w:szCs w:val="24"/>
        </w:rPr>
      </w:r>
      <w:r/>
    </w:p>
    <w:p>
      <w:pPr>
        <w:pStyle w:val="887"/>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rPr>
          <w:rFonts w:hint="eastAsia" w:ascii="宋体" w:hAnsi="宋体"/>
          <w:sz w:val="24"/>
          <w:szCs w:val="24"/>
        </w:rPr>
      </w:r>
      <w:r/>
    </w:p>
    <w:p>
      <w:pPr>
        <w:pStyle w:val="891"/>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887"/>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87"/>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1"/>
        <w:ind w:firstLine="420"/>
        <w:spacing w:before="0" w:after="0" w:line="400" w:lineRule="exact"/>
        <w:rPr>
          <w:rFonts w:hint="eastAsia"/>
          <w:b w:val="0"/>
          <w:bCs w:val="0"/>
        </w:rPr>
      </w:pPr>
      <w:r/>
      <w:bookmarkStart w:id="152" w:name="_Toc16938548"/>
      <w:r/>
      <w:bookmarkStart w:id="153" w:name="_Toc513029232"/>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87"/>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887"/>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rPr>
          <w:rFonts w:hint="eastAsia" w:ascii="宋体" w:hAnsi="宋体"/>
          <w:sz w:val="24"/>
          <w:szCs w:val="24"/>
        </w:rPr>
      </w:r>
      <w:r/>
    </w:p>
    <w:p>
      <w:pPr>
        <w:pStyle w:val="891"/>
        <w:ind w:firstLine="420"/>
        <w:spacing w:before="0" w:after="0" w:line="400" w:lineRule="exact"/>
        <w:rPr>
          <w:rFonts w:hint="eastAsia"/>
          <w:b w:val="0"/>
          <w:bCs w:val="0"/>
        </w:rPr>
      </w:pPr>
      <w:r/>
      <w:bookmarkStart w:id="155" w:name="_Toc16938549"/>
      <w:r/>
      <w:bookmarkStart w:id="156" w:name="_Toc513029233"/>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87"/>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7"/>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7"/>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 w:val="24"/>
        </w:rPr>
      </w:r>
      <w:r/>
    </w:p>
    <w:p>
      <w:pPr>
        <w:pStyle w:val="887"/>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87"/>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rPr>
          <w:rFonts w:hint="eastAsia" w:ascii="宋体" w:hAnsi="宋体"/>
          <w:bCs/>
          <w:sz w:val="24"/>
        </w:rPr>
      </w:r>
      <w:r/>
    </w:p>
    <w:p>
      <w:pPr>
        <w:pStyle w:val="887"/>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7"/>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7"/>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7"/>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87"/>
        <w:ind w:firstLine="420"/>
        <w:spacing w:line="400" w:lineRule="exact"/>
        <w:rPr>
          <w:rFonts w:ascii="宋体" w:hAnsi="宋体"/>
          <w:sz w:val="24"/>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887"/>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24.7 异常低价投标审查</w:t>
      </w:r>
      <w:r>
        <w:rPr>
          <w:rFonts w:hint="eastAsia" w:ascii="方正魏碑_GBK" w:hAnsi="方正魏碑_GBK" w:eastAsia="方正魏碑_GBK" w:cs="方正魏碑_GBK"/>
          <w:color w:val="000000"/>
          <w:sz w:val="24"/>
          <w:highlight w:val="none"/>
        </w:rPr>
      </w:r>
      <w:r/>
    </w:p>
    <w:p>
      <w:pPr>
        <w:pStyle w:val="887"/>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24.7.1 评标过程中出现下列情形之一的，评标委员会应当启动异常低价投标审查程序：</w:t>
      </w:r>
      <w:r>
        <w:rPr>
          <w:rFonts w:hint="eastAsia" w:ascii="方正魏碑_GBK" w:hAnsi="方正魏碑_GBK" w:eastAsia="方正魏碑_GBK" w:cs="方正魏碑_GBK"/>
          <w:color w:val="000000"/>
          <w:sz w:val="24"/>
          <w:highlight w:val="none"/>
        </w:rPr>
      </w:r>
      <w:r/>
    </w:p>
    <w:p>
      <w:pPr>
        <w:pStyle w:val="887"/>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（1）投标报价低于全部通过符合性审查供应商投标报价平均值</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的，即投标报价&lt;全部通过符合性审查供应商投标报价平均值×</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w:t>
      </w:r>
      <w:r>
        <w:rPr>
          <w:rFonts w:hint="eastAsia" w:ascii="方正魏碑_GBK" w:hAnsi="方正魏碑_GBK" w:eastAsia="方正魏碑_GBK" w:cs="方正魏碑_GBK"/>
          <w:color w:val="000000"/>
          <w:sz w:val="24"/>
          <w:highlight w:val="none"/>
        </w:rPr>
      </w:r>
      <w:r/>
    </w:p>
    <w:p>
      <w:pPr>
        <w:pStyle w:val="887"/>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（2）投标报价低于通过符合性审查的次低报价供应商投标报价</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的，即投标报价&lt;通过符合性审查的次低报价供应商投标报价×</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w:t>
      </w:r>
      <w:r>
        <w:rPr>
          <w:rFonts w:hint="eastAsia" w:ascii="方正魏碑_GBK" w:hAnsi="方正魏碑_GBK" w:eastAsia="方正魏碑_GBK" w:cs="方正魏碑_GBK"/>
          <w:color w:val="000000"/>
          <w:sz w:val="24"/>
          <w:highlight w:val="none"/>
        </w:rPr>
      </w:r>
      <w:r/>
    </w:p>
    <w:p>
      <w:pPr>
        <w:pStyle w:val="887"/>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（3）投标报价低于采购项目最高限价</w:t>
      </w:r>
      <w:r>
        <w:rPr>
          <w:rFonts w:hint="eastAsia" w:ascii="方正魏碑_GBK" w:hAnsi="方正魏碑_GBK" w:eastAsia="方正魏碑_GBK" w:cs="方正魏碑_GBK"/>
          <w:color w:val="000000"/>
          <w:sz w:val="24"/>
          <w:highlight w:val="none"/>
          <w:u w:val="single"/>
        </w:rPr>
        <w:t xml:space="preserve">45%</w:t>
      </w:r>
      <w:r>
        <w:rPr>
          <w:rFonts w:hint="eastAsia" w:ascii="方正魏碑_GBK" w:hAnsi="方正魏碑_GBK" w:eastAsia="方正魏碑_GBK" w:cs="方正魏碑_GBK"/>
          <w:color w:val="000000"/>
          <w:sz w:val="24"/>
          <w:highlight w:val="none"/>
        </w:rPr>
        <w:t xml:space="preserve">的，即投标报价&lt;采购项目最高限价×</w:t>
      </w:r>
      <w:r>
        <w:rPr>
          <w:rFonts w:hint="eastAsia" w:ascii="方正魏碑_GBK" w:hAnsi="方正魏碑_GBK" w:eastAsia="方正魏碑_GBK" w:cs="方正魏碑_GBK"/>
          <w:color w:val="000000"/>
          <w:sz w:val="24"/>
          <w:highlight w:val="none"/>
          <w:u w:val="single"/>
        </w:rPr>
        <w:t xml:space="preserve">45%</w:t>
      </w:r>
      <w:r>
        <w:rPr>
          <w:rFonts w:hint="eastAsia" w:ascii="方正魏碑_GBK" w:hAnsi="方正魏碑_GBK" w:eastAsia="方正魏碑_GBK" w:cs="方正魏碑_GBK"/>
          <w:color w:val="000000"/>
          <w:sz w:val="24"/>
          <w:highlight w:val="none"/>
        </w:rPr>
        <w:t xml:space="preserve">；</w:t>
      </w:r>
      <w:r>
        <w:rPr>
          <w:rFonts w:hint="eastAsia" w:ascii="方正魏碑_GBK" w:hAnsi="方正魏碑_GBK" w:eastAsia="方正魏碑_GBK" w:cs="方正魏碑_GBK"/>
          <w:color w:val="000000"/>
          <w:sz w:val="24"/>
          <w:highlight w:val="none"/>
        </w:rPr>
      </w:r>
      <w:r/>
    </w:p>
    <w:p>
      <w:pPr>
        <w:pStyle w:val="887"/>
        <w:ind w:firstLine="420"/>
        <w:spacing w:line="400" w:lineRule="exact"/>
        <w:rPr>
          <w:rFonts w:hint="eastAsia" w:ascii="方正魏碑_GBK" w:hAnsi="方正魏碑_GBK" w:eastAsia="方正魏碑_GBK" w:cs="方正魏碑_GBK"/>
          <w:color w:val="000000"/>
          <w:sz w:val="24"/>
          <w:highlight w:val="yellow"/>
        </w:rPr>
      </w:pPr>
      <w:r>
        <w:rPr>
          <w:rFonts w:hint="eastAsia" w:ascii="方正魏碑_GBK" w:hAnsi="方正魏碑_GBK" w:eastAsia="方正魏碑_GBK" w:cs="方正魏碑_GBK"/>
          <w:color w:val="000000"/>
          <w:sz w:val="24"/>
          <w:highlight w:val="none"/>
        </w:rPr>
        <w:t xml:space="preserve">（4）评标委员会基于专业判断，认为供应商报价过低，有可能影响产品质量或者不能诚信履约的其他情形。</w:t>
      </w:r>
      <w:r>
        <w:rPr>
          <w:rFonts w:hint="eastAsia" w:ascii="方正魏碑_GBK" w:hAnsi="方正魏碑_GBK" w:eastAsia="方正魏碑_GBK" w:cs="方正魏碑_GBK"/>
          <w:color w:val="000000"/>
          <w:sz w:val="24"/>
          <w:highlight w:val="yellow"/>
        </w:rPr>
      </w:r>
      <w:r/>
    </w:p>
    <w:p>
      <w:pPr>
        <w:pStyle w:val="887"/>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rPr>
      </w:r>
      <w:r/>
    </w:p>
    <w:p>
      <w:pPr>
        <w:pStyle w:val="887"/>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rPr>
      </w:r>
      <w:r/>
    </w:p>
    <w:p>
      <w:pPr>
        <w:pStyle w:val="891"/>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887"/>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25.1无效投标条款</w:t>
      </w:r>
      <w:r>
        <w:rPr>
          <w:rFonts w:hint="eastAsia" w:ascii="宋体" w:hAnsi="宋体"/>
          <w:bCs/>
          <w:sz w:val="24"/>
        </w:rPr>
      </w:r>
      <w:r/>
    </w:p>
    <w:p>
      <w:pPr>
        <w:pStyle w:val="887"/>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87"/>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887"/>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887"/>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887"/>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87"/>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87"/>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887"/>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rPr>
          <w:rFonts w:hint="eastAsia" w:ascii="宋体" w:hAnsi="宋体" w:cs="宋体"/>
          <w:bCs/>
          <w:sz w:val="24"/>
          <w:szCs w:val="24"/>
        </w:rPr>
      </w:r>
      <w:r/>
    </w:p>
    <w:p>
      <w:pPr>
        <w:pStyle w:val="887"/>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rPr>
          <w:rFonts w:hint="eastAsia" w:ascii="宋体" w:hAnsi="宋体"/>
          <w:bCs/>
          <w:sz w:val="24"/>
        </w:rPr>
      </w:r>
      <w:r/>
    </w:p>
    <w:p>
      <w:pPr>
        <w:pStyle w:val="887"/>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887"/>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887"/>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887"/>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87"/>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87"/>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0"/>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1"/>
        <w:ind w:firstLine="600"/>
        <w:spacing w:before="0" w:after="0" w:line="400" w:lineRule="exact"/>
        <w:rPr>
          <w:rFonts w:hint="eastAsia" w:ascii="黑体" w:hAnsi="宋体"/>
          <w:b w:val="0"/>
          <w:sz w:val="30"/>
          <w:szCs w:val="30"/>
        </w:rPr>
      </w:pPr>
      <w:r/>
      <w:bookmarkStart w:id="165" w:name="_Toc513029238"/>
      <w:r/>
      <w:bookmarkStart w:id="166" w:name="_Toc20823310"/>
      <w:r/>
      <w:bookmarkStart w:id="167" w:name="_Toc16938554"/>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rPr>
          <w:rFonts w:hint="eastAsia" w:ascii="黑体" w:hAnsi="宋体"/>
          <w:b w:val="0"/>
          <w:sz w:val="30"/>
          <w:szCs w:val="30"/>
        </w:rPr>
      </w:r>
      <w:r/>
    </w:p>
    <w:p>
      <w:pPr>
        <w:pStyle w:val="887"/>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rPr>
          <w:rFonts w:hint="eastAsia" w:ascii="宋体" w:hAnsi="宋体"/>
          <w:bCs/>
          <w:sz w:val="24"/>
        </w:rPr>
      </w:r>
      <w:r/>
    </w:p>
    <w:p>
      <w:pPr>
        <w:pStyle w:val="887"/>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887"/>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91"/>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Pr>
          <w:rFonts w:hint="eastAsia" w:ascii="黑体" w:hAnsi="宋体"/>
          <w:b w:val="0"/>
          <w:sz w:val="30"/>
          <w:szCs w:val="30"/>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8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eastAsia="宋体" w:cs="宋体"/>
          <w:color w:val="000000"/>
          <w:sz w:val="24"/>
          <w:szCs w:val="24"/>
        </w:rPr>
      </w:r>
      <w:r/>
    </w:p>
    <w:p>
      <w:pPr>
        <w:pStyle w:val="88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采购人及采购中心只接收以纸质原件形式送达的质疑,建议供应商尽量通过邮寄方式提交质疑（采购人和采购中心不接受无快递运单号的快递）。</w:t>
      </w:r>
      <w:r>
        <w:rPr>
          <w:rFonts w:hint="eastAsia" w:ascii="宋体" w:hAnsi="宋体" w:eastAsia="宋体" w:cs="宋体"/>
          <w:color w:val="000000"/>
          <w:sz w:val="24"/>
          <w:szCs w:val="24"/>
        </w:rPr>
      </w:r>
      <w:r/>
    </w:p>
    <w:p>
      <w:pPr>
        <w:pStyle w:val="88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eastAsia="宋体" w:cs="宋体"/>
          <w:color w:val="000000"/>
          <w:sz w:val="24"/>
          <w:szCs w:val="24"/>
        </w:rPr>
      </w:r>
      <w:r/>
    </w:p>
    <w:p>
      <w:pPr>
        <w:pStyle w:val="887"/>
        <w:ind w:firstLine="480"/>
        <w:spacing w:line="560" w:lineRule="exact"/>
        <w:rPr>
          <w:rFonts w:hint="eastAsia" w:ascii="宋体" w:hAnsi="宋体" w:eastAsia="宋体" w:cs="宋体"/>
          <w:b/>
          <w:color w:val="000000"/>
          <w:sz w:val="24"/>
          <w:szCs w:val="24"/>
          <w:highlight w:val="yellow"/>
        </w:rPr>
      </w:pPr>
      <w:r>
        <w:rPr>
          <w:rFonts w:hint="eastAsia" w:ascii="宋体" w:hAnsi="宋体" w:eastAsia="宋体" w:cs="宋体"/>
          <w:color w:val="000000"/>
          <w:sz w:val="24"/>
          <w:szCs w:val="24"/>
        </w:rPr>
        <w:t xml:space="preserve">采购人质疑接收人及联系方式见招标文件第一章。</w:t>
      </w:r>
      <w:r>
        <w:rPr>
          <w:rFonts w:hint="eastAsia" w:ascii="宋体" w:hAnsi="宋体" w:eastAsia="宋体" w:cs="宋体"/>
          <w:b/>
          <w:color w:val="000000"/>
          <w:sz w:val="24"/>
          <w:szCs w:val="24"/>
          <w:highlight w:val="yellow"/>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91"/>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rPr>
          <w:rFonts w:hint="eastAsia" w:ascii="黑体" w:hAnsi="宋体"/>
          <w:b w:val="0"/>
          <w:sz w:val="30"/>
          <w:szCs w:val="30"/>
        </w:rPr>
      </w:r>
      <w:r/>
    </w:p>
    <w:p>
      <w:pPr>
        <w:pStyle w:val="887"/>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887"/>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890"/>
        <w:spacing w:before="145" w:after="145" w:line="400" w:lineRule="exact"/>
        <w:rPr>
          <w:rFonts w:hint="eastAsia"/>
        </w:rPr>
      </w:pPr>
      <w:r/>
      <w:bookmarkStart w:id="169" w:name="_Toc120614220"/>
      <w:r/>
      <w:bookmarkStart w:id="170" w:name="_Toc20823308"/>
      <w:r/>
      <w:bookmarkStart w:id="171" w:name="_Toc16938552"/>
      <w:r/>
      <w:bookmarkStart w:id="172" w:name="_Toc513029236"/>
      <w:r>
        <w:rPr>
          <w:rFonts w:hint="eastAsia"/>
        </w:rPr>
        <w:t xml:space="preserve">七、授予合同</w:t>
      </w:r>
      <w:bookmarkEnd w:id="169"/>
      <w:r>
        <w:rPr>
          <w:rFonts w:hint="eastAsia"/>
        </w:rPr>
      </w:r>
      <w:r/>
    </w:p>
    <w:p>
      <w:pPr>
        <w:pStyle w:val="891"/>
        <w:ind w:firstLine="600"/>
        <w:spacing w:before="0" w:after="0" w:line="400" w:lineRule="exact"/>
        <w:rPr>
          <w:rFonts w:hint="eastAsia" w:ascii="黑体" w:hAnsi="宋体"/>
          <w:b w:val="0"/>
          <w:sz w:val="30"/>
          <w:szCs w:val="30"/>
        </w:rPr>
      </w:pPr>
      <w:r/>
      <w:bookmarkEnd w:id="170"/>
      <w:r/>
      <w:bookmarkEnd w:id="171"/>
      <w:r/>
      <w:bookmarkEnd w:id="172"/>
      <w:r/>
      <w:bookmarkStart w:id="173" w:name="_Toc16938553"/>
      <w:r/>
      <w:bookmarkStart w:id="174" w:name="_Toc20823309"/>
      <w:r/>
      <w:bookmarkStart w:id="175" w:name="_Toc513029237"/>
      <w:r>
        <w:rPr>
          <w:rFonts w:ascii="黑体" w:hAnsi="宋体"/>
          <w:b w:val="0"/>
          <w:sz w:val="30"/>
          <w:szCs w:val="30"/>
        </w:rPr>
        <w:t xml:space="preserve">29</w:t>
      </w:r>
      <w:r>
        <w:rPr>
          <w:rFonts w:hint="eastAsia" w:ascii="黑体" w:hAnsi="宋体"/>
          <w:b w:val="0"/>
          <w:sz w:val="30"/>
          <w:szCs w:val="30"/>
        </w:rPr>
        <w:t xml:space="preserve">、签订合同</w:t>
      </w:r>
      <w:r>
        <w:rPr>
          <w:rFonts w:hint="eastAsia" w:ascii="黑体" w:hAnsi="宋体"/>
          <w:b w:val="0"/>
          <w:sz w:val="30"/>
          <w:szCs w:val="30"/>
        </w:rPr>
      </w:r>
      <w:r/>
    </w:p>
    <w:p>
      <w:pPr>
        <w:pStyle w:val="887"/>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887"/>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887"/>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891"/>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rPr>
          <w:rFonts w:hint="eastAsia" w:ascii="黑体" w:hAnsi="宋体"/>
          <w:b w:val="0"/>
          <w:sz w:val="30"/>
          <w:szCs w:val="30"/>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891"/>
        <w:ind w:firstLine="600"/>
        <w:spacing w:before="0" w:after="0" w:line="400" w:lineRule="exact"/>
        <w:rPr>
          <w:rFonts w:ascii="黑体" w:hAnsi="宋体"/>
          <w:b w:val="0"/>
          <w:sz w:val="30"/>
          <w:szCs w:val="30"/>
        </w:rPr>
      </w:pPr>
      <w:r/>
      <w:bookmarkEnd w:id="173"/>
      <w:r/>
      <w:bookmarkEnd w:id="174"/>
      <w:r/>
      <w:bookmarkEnd w:id="175"/>
      <w:r/>
      <w:bookmarkStart w:id="176" w:name="_Toc120614221"/>
      <w:r/>
      <w:bookmarkStart w:id="177" w:name="_Toc479757207"/>
      <w:r/>
      <w:bookmarkStart w:id="178" w:name="_Toc16938558"/>
      <w:r/>
      <w:bookmarkStart w:id="179" w:name="_Toc20823314"/>
      <w:r/>
      <w:bookmarkStart w:id="180" w:name="_Toc513029242"/>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55"/>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rPr>
          <w:rFonts w:hint="eastAsia" w:ascii="宋体" w:hAnsi="宋体"/>
          <w:bCs/>
          <w:sz w:val="24"/>
        </w:rPr>
      </w:r>
      <w:r/>
    </w:p>
    <w:p>
      <w:pPr>
        <w:pStyle w:val="955"/>
        <w:spacing w:line="400" w:lineRule="exact"/>
        <w:rPr>
          <w:rFonts w:hint="eastAsia" w:ascii="宋体" w:hAnsi="宋体"/>
          <w:bCs/>
          <w:sz w:val="24"/>
        </w:rPr>
      </w:pPr>
      <w:r>
        <w:rPr>
          <w:rFonts w:hint="eastAsia" w:ascii="宋体" w:hAnsi="宋体"/>
          <w:bCs/>
          <w:sz w:val="24"/>
        </w:rPr>
      </w:r>
      <w:r/>
    </w:p>
    <w:p>
      <w:pPr>
        <w:pStyle w:val="955"/>
        <w:spacing w:line="400" w:lineRule="exact"/>
        <w:rPr>
          <w:rFonts w:hint="eastAsia" w:ascii="宋体" w:hAnsi="宋体"/>
          <w:bCs/>
          <w:sz w:val="24"/>
        </w:rPr>
      </w:pPr>
      <w:r>
        <w:rPr>
          <w:rFonts w:hint="eastAsia" w:ascii="宋体" w:hAnsi="宋体"/>
          <w:bCs/>
          <w:sz w:val="24"/>
        </w:rPr>
      </w:r>
      <w:r/>
    </w:p>
    <w:p>
      <w:pPr>
        <w:pStyle w:val="955"/>
        <w:spacing w:line="400" w:lineRule="exact"/>
        <w:rPr>
          <w:rFonts w:hint="eastAsia" w:ascii="宋体" w:hAnsi="宋体"/>
          <w:bCs/>
          <w:sz w:val="24"/>
        </w:rPr>
      </w:pPr>
      <w:r>
        <w:rPr>
          <w:rFonts w:hint="eastAsia" w:ascii="宋体" w:hAnsi="宋体"/>
          <w:bCs/>
          <w:sz w:val="24"/>
        </w:rPr>
      </w:r>
      <w:r/>
    </w:p>
    <w:p>
      <w:pPr>
        <w:pStyle w:val="955"/>
        <w:spacing w:line="400" w:lineRule="exact"/>
        <w:rPr>
          <w:rFonts w:hint="eastAsia" w:ascii="宋体" w:hAnsi="宋体"/>
          <w:bCs/>
          <w:sz w:val="24"/>
        </w:rPr>
      </w:pPr>
      <w:r>
        <w:rPr>
          <w:rFonts w:hint="eastAsia" w:ascii="宋体" w:hAnsi="宋体"/>
          <w:bCs/>
          <w:sz w:val="24"/>
        </w:rPr>
      </w:r>
      <w:r/>
    </w:p>
    <w:p>
      <w:pPr>
        <w:pStyle w:val="955"/>
        <w:spacing w:line="400" w:lineRule="exact"/>
        <w:rPr>
          <w:rFonts w:hint="eastAsia" w:ascii="宋体" w:hAnsi="宋体"/>
          <w:bCs/>
          <w:sz w:val="24"/>
          <w:lang w:val="en-US"/>
        </w:rPr>
      </w:pPr>
      <w:r>
        <w:rPr>
          <w:rFonts w:hint="eastAsia" w:ascii="宋体" w:hAnsi="宋体"/>
          <w:bCs/>
          <w:sz w:val="24"/>
          <w:lang w:val="en-US"/>
        </w:rPr>
      </w:r>
      <w:r/>
    </w:p>
    <w:p>
      <w:pPr>
        <w:pStyle w:val="888"/>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887"/>
        <w:jc w:val="center"/>
        <w:spacing w:before="145" w:after="145"/>
        <w:rPr>
          <w:rFonts w:hint="eastAsia" w:ascii="宋体" w:hAnsi="宋体"/>
          <w:b/>
          <w:sz w:val="30"/>
        </w:rPr>
        <w:outlineLvl w:val="0"/>
      </w:pPr>
      <w:r/>
      <w:bookmarkStart w:id="181" w:name="_Toc20823315"/>
      <w:r/>
      <w:bookmarkStart w:id="182" w:name="_Toc16938559"/>
      <w:r/>
      <w:bookmarkStart w:id="183" w:name="_Toc513029243"/>
      <w:r>
        <w:rPr>
          <w:rFonts w:hint="eastAsia" w:ascii="宋体" w:hAnsi="宋体"/>
          <w:b/>
          <w:sz w:val="30"/>
        </w:rPr>
      </w:r>
      <w:r/>
    </w:p>
    <w:p>
      <w:pPr>
        <w:pStyle w:val="887"/>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87"/>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887"/>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887"/>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52"/>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952"/>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5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5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5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52"/>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52"/>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52"/>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52"/>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52"/>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int="eastAsia" w:hAnsi="宋体"/>
          <w:sz w:val="24"/>
          <w:szCs w:val="24"/>
        </w:rPr>
      </w:r>
      <w:r/>
    </w:p>
    <w:p>
      <w:pPr>
        <w:pStyle w:val="952"/>
        <w:spacing w:before="120" w:after="120"/>
        <w:rPr>
          <w:rFonts w:hint="eastAsia" w:hAnsi="宋体"/>
          <w:sz w:val="24"/>
          <w:szCs w:val="24"/>
          <w:lang w:val="en-US" w:eastAsia="zh-CN"/>
        </w:rPr>
      </w:pPr>
      <w:r>
        <w:rPr>
          <w:rFonts w:hint="eastAsia" w:hAnsi="宋体"/>
          <w:sz w:val="24"/>
          <w:szCs w:val="24"/>
          <w:lang w:val="en-US" w:eastAsia="zh-CN"/>
        </w:rPr>
        <w:t xml:space="preserve">1.7服务类型：楼宇、体育馆、操场等;</w:t>
      </w:r>
      <w:r>
        <w:rPr>
          <w:rFonts w:hint="eastAsia" w:hAnsi="宋体"/>
          <w:sz w:val="24"/>
          <w:szCs w:val="24"/>
          <w:lang w:val="en-US" w:eastAsia="zh-CN"/>
        </w:rPr>
      </w:r>
      <w:r/>
    </w:p>
    <w:p>
      <w:pPr>
        <w:pStyle w:val="952"/>
        <w:spacing w:before="120" w:after="120"/>
        <w:rPr>
          <w:rFonts w:hint="eastAsia" w:hAnsi="宋体"/>
          <w:sz w:val="24"/>
          <w:szCs w:val="24"/>
          <w:lang w:val="en-US" w:eastAsia="zh-CN"/>
        </w:rPr>
      </w:pPr>
      <w:r>
        <w:rPr>
          <w:rFonts w:hint="eastAsia" w:hAnsi="宋体"/>
          <w:sz w:val="24"/>
          <w:szCs w:val="24"/>
          <w:lang w:val="en-US" w:eastAsia="zh-CN"/>
        </w:rPr>
        <w:t xml:space="preserve">1.8服务内容：甲方将    委托给乙方，具体管理与服务的范围如下： </w:t>
      </w:r>
      <w:r>
        <w:rPr>
          <w:rFonts w:hint="eastAsia" w:hAnsi="宋体"/>
          <w:sz w:val="24"/>
          <w:szCs w:val="24"/>
          <w:lang w:val="en-US" w:eastAsia="zh-CN"/>
        </w:rPr>
      </w:r>
      <w:r/>
    </w:p>
    <w:p>
      <w:pPr>
        <w:pStyle w:val="952"/>
        <w:spacing w:before="120" w:after="120"/>
        <w:rPr>
          <w:rFonts w:hint="eastAsia" w:hAnsi="宋体"/>
          <w:sz w:val="24"/>
          <w:szCs w:val="24"/>
          <w:lang w:val="en-US" w:eastAsia="zh-CN"/>
        </w:rPr>
      </w:pPr>
      <w:r>
        <w:rPr>
          <w:rFonts w:hint="eastAsia" w:hAnsi="宋体"/>
          <w:sz w:val="24"/>
          <w:szCs w:val="24"/>
          <w:lang w:val="en-US" w:eastAsia="zh-CN"/>
        </w:rPr>
        <w:t xml:space="preserve">（1）楼宇公共区域、卫生间、教室、部分会议室、体育馆（含看台）、报告厅等保洁、门窗玻璃（含办公室）保洁； </w:t>
      </w:r>
      <w:r>
        <w:rPr>
          <w:rFonts w:hint="eastAsia" w:hAnsi="宋体"/>
          <w:sz w:val="24"/>
          <w:szCs w:val="24"/>
          <w:lang w:val="en-US" w:eastAsia="zh-CN"/>
        </w:rPr>
      </w:r>
      <w:r/>
    </w:p>
    <w:p>
      <w:pPr>
        <w:pStyle w:val="952"/>
        <w:spacing w:before="120" w:after="120"/>
        <w:rPr>
          <w:rFonts w:hint="eastAsia" w:hAnsi="宋体"/>
          <w:sz w:val="24"/>
          <w:szCs w:val="24"/>
          <w:lang w:val="en-US" w:eastAsia="zh-CN"/>
        </w:rPr>
      </w:pPr>
      <w:r>
        <w:rPr>
          <w:rFonts w:hint="eastAsia" w:hAnsi="宋体"/>
          <w:sz w:val="24"/>
          <w:szCs w:val="24"/>
          <w:lang w:val="en-US" w:eastAsia="zh-CN"/>
        </w:rPr>
        <w:t xml:space="preserve">（2）水电设施设备维修保养、办公家具及课桌椅维修和保养； </w:t>
      </w:r>
      <w:r>
        <w:rPr>
          <w:rFonts w:hint="eastAsia" w:hAnsi="宋体"/>
          <w:sz w:val="24"/>
          <w:szCs w:val="24"/>
          <w:lang w:val="en-US" w:eastAsia="zh-CN"/>
        </w:rPr>
      </w:r>
      <w:r/>
    </w:p>
    <w:p>
      <w:pPr>
        <w:pStyle w:val="952"/>
        <w:spacing w:before="120" w:after="120"/>
        <w:rPr>
          <w:rFonts w:hint="eastAsia" w:hAnsi="宋体"/>
          <w:sz w:val="24"/>
          <w:szCs w:val="24"/>
          <w:lang w:val="en-US" w:eastAsia="zh-CN"/>
        </w:rPr>
      </w:pPr>
      <w:r>
        <w:rPr>
          <w:rFonts w:hint="eastAsia" w:hAnsi="宋体"/>
          <w:sz w:val="24"/>
          <w:szCs w:val="24"/>
          <w:lang w:val="en-US" w:eastAsia="zh-CN"/>
        </w:rPr>
        <w:t xml:space="preserve">（3）楼宇24小时安全管理服务； </w:t>
      </w:r>
      <w:r>
        <w:rPr>
          <w:rFonts w:hint="eastAsia" w:hAnsi="宋体"/>
          <w:sz w:val="24"/>
          <w:szCs w:val="24"/>
          <w:lang w:val="en-US" w:eastAsia="zh-CN"/>
        </w:rPr>
      </w:r>
      <w:r/>
    </w:p>
    <w:p>
      <w:pPr>
        <w:pStyle w:val="952"/>
        <w:spacing w:before="120" w:after="120"/>
        <w:rPr>
          <w:rFonts w:hint="eastAsia" w:hAnsi="宋体"/>
          <w:sz w:val="24"/>
          <w:szCs w:val="24"/>
          <w:lang w:val="en-US" w:eastAsia="zh-CN"/>
        </w:rPr>
      </w:pPr>
      <w:r>
        <w:rPr>
          <w:rFonts w:hint="eastAsia" w:hAnsi="宋体"/>
          <w:sz w:val="24"/>
          <w:szCs w:val="24"/>
          <w:lang w:val="en-US" w:eastAsia="zh-CN"/>
        </w:rPr>
        <w:t xml:space="preserve">（4）中大型考务活动保障服务、突发事件应急处置、物资搬运等； </w:t>
      </w:r>
      <w:r>
        <w:rPr>
          <w:rFonts w:hint="eastAsia" w:hAnsi="宋体"/>
          <w:sz w:val="24"/>
          <w:szCs w:val="24"/>
          <w:lang w:val="en-US" w:eastAsia="zh-CN"/>
        </w:rPr>
      </w:r>
      <w:r/>
    </w:p>
    <w:p>
      <w:pPr>
        <w:pStyle w:val="952"/>
        <w:spacing w:before="120" w:after="120"/>
        <w:rPr>
          <w:rFonts w:hAnsi="宋体" w:eastAsia="宋体"/>
          <w:sz w:val="24"/>
          <w:szCs w:val="24"/>
          <w:lang w:val="en-US" w:eastAsia="zh-CN"/>
        </w:rPr>
      </w:pPr>
      <w:r>
        <w:rPr>
          <w:rFonts w:hint="eastAsia" w:hAnsi="宋体"/>
          <w:sz w:val="24"/>
          <w:szCs w:val="24"/>
          <w:lang w:val="en-US" w:eastAsia="zh-CN"/>
        </w:rPr>
        <w:t xml:space="preserve">（5）服务内容、配备人员标准等具体要求详见本合同附件：《扬州工业职业技术学院楼宇物业管理服务与标准》;《楼宇物业管理管理考核表》。</w:t>
      </w:r>
      <w:r>
        <w:rPr>
          <w:rFonts w:hAnsi="宋体" w:eastAsia="宋体"/>
          <w:sz w:val="24"/>
          <w:szCs w:val="24"/>
          <w:lang w:val="en-US" w:eastAsia="zh-CN"/>
        </w:rPr>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本合同三年总金额为（大写）：________圆（________元）人民币或其他币种，每年金额为（大写）：________圆（________元）人民币或其他币种。</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三、合同履行期限</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合同服务期为三年，自________年____月____日至________年____月____日，合同一年一签；</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3.2首签合同服务满一年考核合格后，续签第二年合同服务，第二年考核合格后，方可续签第三年度合同，如考核不合格，学校可拒绝续签合同，服务终止。</w:t>
      </w:r>
      <w:r/>
    </w:p>
    <w:p>
      <w:pPr>
        <w:pStyle w:val="952"/>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52"/>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52"/>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5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52"/>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52"/>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rPr>
          <w:rFonts w:hint="eastAsia" w:hAnsi="宋体"/>
          <w:sz w:val="24"/>
          <w:szCs w:val="24"/>
        </w:rPr>
      </w:r>
      <w:r/>
    </w:p>
    <w:p>
      <w:pPr>
        <w:pStyle w:val="952"/>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52"/>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952"/>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952"/>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952"/>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rPr>
          <w:rFonts w:hAnsi="宋体"/>
          <w:sz w:val="24"/>
          <w:szCs w:val="24"/>
        </w:rPr>
      </w:r>
      <w:r/>
    </w:p>
    <w:p>
      <w:pPr>
        <w:pStyle w:val="887"/>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7"/>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87"/>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87"/>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5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887"/>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887"/>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rPr>
          <w:rFonts w:hint="eastAsia" w:ascii="宋体" w:hAnsi="宋体"/>
          <w:sz w:val="24"/>
          <w:szCs w:val="24"/>
        </w:rPr>
      </w:r>
      <w:r/>
    </w:p>
    <w:p>
      <w:pPr>
        <w:pStyle w:val="887"/>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rPr>
          <w:rFonts w:hint="eastAsia" w:ascii="宋体" w:hAnsi="宋体"/>
          <w:sz w:val="24"/>
          <w:szCs w:val="24"/>
        </w:rPr>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九、合同款项支付</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9.1合同款项的支付方式及进度安排</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9.1.1 预付款支付时间：合同签订后30工作日内，预付款支付比例：合同金额的10%。</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9.1.2 尾款支付时间：剩余合同总价的90%，甲乙双方每3个月结算服务费用（服务费用实行每月考核、每3个月（一个季度）为一周期支付制度，月度考核结果单独应用，不进行季度加权），甲乙双方按考核结果确定实际支付费用，甲方自收到正式发票之日起10日内支付。</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十、税费</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10.1本合同执行中相关的一切税费均由乙方负担。</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十一、项目验收</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甲方依法组织履约验收工作。</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对于实际使用人和甲方分离的项目，甲方邀请实际使用人参与验收。</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如有必要，甲方邀请参加本项目的其他供应商或第三方专业机构及专家参与验收，相关意见将作为验收书的参考资料。</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十二、违约责任</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甲方无正当理由拒绝接受乙方提供服务的，甲方向乙方偿付拒绝接受服务合同价款总值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甲方无故逾期验收和办理合同款项支付手续的,甲方应按逾期付款总额</w:t>
      </w:r>
      <w:r>
        <w:rPr>
          <w:rFonts w:ascii="SimSun" w:hAnsi="SimSun" w:eastAsia="SimSun" w:cs="SimSun"/>
          <w:color w:val="000000"/>
          <w:sz w:val="24"/>
          <w:u w:val="single"/>
        </w:rPr>
        <w:t xml:space="preserve">    </w:t>
      </w:r>
      <w:r>
        <w:rPr>
          <w:rFonts w:ascii="SimSun" w:hAnsi="SimSun" w:eastAsia="SimSun" w:cs="SimSun"/>
          <w:color w:val="000000"/>
          <w:sz w:val="24"/>
        </w:rPr>
        <w:t xml:space="preserve">每日向乙方支付违约金。</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乙方所提供服务的标准不符合合同规定及招标文件规定标准的，甲方有权拒绝接受服务，并可单方面解除合同。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十三、不可抗力事件处理</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在合同有效期内，任何一方因不可抗力事件导致不能履行合同，则合同履行期可延长，其延长期与不可抗力影响 期相同。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不可抗力事件发生后，应立即通知对方，并寄送有关权威机构出具的证明。</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不可抗力事件延续120天以上，双方应通过友好协商，确定是否继续履行合同。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十四、解决争议的方法</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14.1双方在签订、履行合同中所发生的一切争议，应通过友好协商解决。如协商不成，由甲方住所地人民法院管辖。</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十五、合同生效及其它</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合同经双方法定代表人或授权委托代表人签字并加盖单位公章后生效。</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15.2本合同未尽事宜，遵照中华人民共和国现行法律法规有关条文执行。</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本合同正本一式两份，具有同等法律效力，甲方、乙方各执一份。</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                 乙方：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法定代表人或授权代表：法定代表人或授权代表：</w:t>
      </w:r>
      <w:r/>
    </w:p>
    <w:p>
      <w:pPr>
        <w:ind w:left="0" w:right="0" w:firstLine="24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right"/>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  月 日</w:t>
        <w:br w:type="page" w:clear="all"/>
      </w:r>
      <w:r/>
    </w:p>
    <w:p>
      <w:pPr>
        <w:pStyle w:val="952"/>
        <w:jc w:val="center"/>
        <w:spacing w:before="120" w:after="120" w:line="0" w:lineRule="atLeast"/>
        <w:rPr>
          <w:rFonts w:hint="eastAsia" w:hAnsi="宋体"/>
          <w:sz w:val="24"/>
          <w:szCs w:val="24"/>
        </w:rPr>
      </w:pP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952"/>
        <w:ind w:firstLine="562"/>
        <w:spacing w:before="120" w:after="120" w:line="560" w:lineRule="exact"/>
        <w:rPr>
          <w:rFonts w:hint="eastAsia" w:ascii="宋体" w:hAnsi="宋体" w:eastAsia="宋体" w:cs="宋体"/>
          <w:bCs/>
          <w:sz w:val="24"/>
          <w:szCs w:val="24"/>
        </w:rPr>
      </w:pPr>
      <w:r/>
      <w:bookmarkStart w:id="191" w:name="_Toc49090575"/>
      <w:r/>
      <w:bookmarkStart w:id="192" w:name="_Toc26554093"/>
      <w:r>
        <w:rPr>
          <w:rFonts w:hint="eastAsia" w:ascii="宋体" w:hAnsi="宋体" w:eastAsia="宋体" w:cs="宋体"/>
          <w:b/>
          <w:bCs w:val="0"/>
          <w:sz w:val="28"/>
          <w:szCs w:val="28"/>
        </w:rPr>
        <w:t xml:space="preserve">一、采购标的清单</w:t>
      </w:r>
      <w:r>
        <w:rPr>
          <w:rFonts w:hint="eastAsia" w:ascii="宋体" w:hAnsi="宋体" w:eastAsia="宋体" w:cs="宋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898"/>
        <w:gridCol w:w="3591"/>
        <w:gridCol w:w="2438"/>
      </w:tblGrid>
      <w:tr>
        <w:trPr>
          <w:cantSplit/>
          <w:trHeight w:val="701"/>
        </w:trPr>
        <w:tc>
          <w:tcPr>
            <w:tcW w:w="790" w:type="dxa"/>
            <w:vAlign w:val="top"/>
            <w:textDirection w:val="lrTb"/>
            <w:noWrap w:val="false"/>
          </w:tcPr>
          <w:p>
            <w:pPr>
              <w:pStyle w:val="887"/>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采购</w:t>
            </w:r>
            <w:r>
              <w:rPr>
                <w:rFonts w:hint="eastAsia" w:ascii="宋体" w:hAnsi="宋体" w:eastAsia="宋体" w:cs="宋体"/>
                <w:sz w:val="24"/>
                <w:szCs w:val="24"/>
              </w:rPr>
            </w:r>
            <w:r/>
          </w:p>
          <w:p>
            <w:pPr>
              <w:pStyle w:val="887"/>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rPr>
            </w:r>
            <w:r/>
          </w:p>
        </w:tc>
        <w:tc>
          <w:tcPr>
            <w:tcW w:w="898" w:type="dxa"/>
            <w:vAlign w:val="center"/>
            <w:textDirection w:val="lrTb"/>
            <w:noWrap w:val="false"/>
          </w:tcPr>
          <w:p>
            <w:pPr>
              <w:pStyle w:val="887"/>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3591" w:type="dxa"/>
            <w:vAlign w:val="center"/>
            <w:textDirection w:val="lrTb"/>
            <w:noWrap w:val="false"/>
          </w:tcPr>
          <w:p>
            <w:pPr>
              <w:pStyle w:val="887"/>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采购标的</w:t>
            </w:r>
            <w:r>
              <w:rPr>
                <w:rFonts w:hint="eastAsia" w:ascii="宋体" w:hAnsi="宋体" w:eastAsia="宋体" w:cs="宋体"/>
                <w:sz w:val="24"/>
                <w:szCs w:val="24"/>
              </w:rPr>
            </w:r>
            <w:r/>
          </w:p>
        </w:tc>
        <w:tc>
          <w:tcPr>
            <w:tcW w:w="2438" w:type="dxa"/>
            <w:vAlign w:val="center"/>
            <w:textDirection w:val="lrTb"/>
            <w:noWrap w:val="false"/>
          </w:tcPr>
          <w:p>
            <w:pPr>
              <w:pStyle w:val="887"/>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rPr>
                <w:rFonts w:hint="eastAsia" w:ascii="宋体" w:hAnsi="宋体" w:eastAsia="宋体" w:cs="宋体"/>
                <w:sz w:val="24"/>
                <w:szCs w:val="24"/>
              </w:rPr>
            </w:r>
            <w:r/>
          </w:p>
        </w:tc>
      </w:tr>
      <w:tr>
        <w:trPr>
          <w:cantSplit/>
          <w:trHeight w:val="291"/>
        </w:trPr>
        <w:tc>
          <w:tcPr>
            <w:tcW w:w="790" w:type="dxa"/>
            <w:vAlign w:val="top"/>
            <w:textDirection w:val="lrTb"/>
            <w:noWrap w:val="false"/>
          </w:tcPr>
          <w:p>
            <w:pPr>
              <w:pStyle w:val="887"/>
              <w:jc w:val="center"/>
              <w:spacing w:line="0" w:lineRule="atLeast"/>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sz w:val="24"/>
                <w:szCs w:val="24"/>
                <w:lang w:eastAsia="zh-CN"/>
              </w:rPr>
            </w:r>
            <w:r/>
          </w:p>
        </w:tc>
        <w:tc>
          <w:tcPr>
            <w:tcW w:w="898" w:type="dxa"/>
            <w:vAlign w:val="top"/>
            <w:textDirection w:val="lrTb"/>
            <w:noWrap w:val="false"/>
          </w:tcPr>
          <w:p>
            <w:pPr>
              <w:pStyle w:val="887"/>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591" w:type="dxa"/>
            <w:vAlign w:val="top"/>
            <w:textDirection w:val="lrTb"/>
            <w:noWrap w:val="false"/>
          </w:tcPr>
          <w:p>
            <w:pPr>
              <w:pStyle w:val="887"/>
              <w:jc w:val="center"/>
              <w:spacing w:line="0" w:lineRule="atLeast"/>
              <w:tabs>
                <w:tab w:val="left" w:pos="2020" w:leader="none"/>
              </w:tabs>
              <w:rPr>
                <w:rFonts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后勤楼宇物业管理费B</w:t>
            </w:r>
            <w:r>
              <w:rPr>
                <w:rFonts w:ascii="宋体" w:hAnsi="宋体" w:eastAsia="宋体" w:cs="宋体"/>
                <w:sz w:val="24"/>
                <w:szCs w:val="24"/>
                <w:lang w:val="en-US" w:eastAsia="zh-CN"/>
              </w:rPr>
            </w:r>
            <w:r/>
          </w:p>
        </w:tc>
        <w:tc>
          <w:tcPr>
            <w:tcW w:w="2438" w:type="dxa"/>
            <w:vAlign w:val="top"/>
            <w:textDirection w:val="lrTb"/>
            <w:noWrap w:val="false"/>
          </w:tcPr>
          <w:p>
            <w:pPr>
              <w:pStyle w:val="887"/>
              <w:jc w:val="center"/>
              <w:spacing w:line="0" w:lineRule="atLeast"/>
              <w:tabs>
                <w:tab w:val="left" w:pos="2020" w:leader="none"/>
              </w:tabs>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物业管理服务</w:t>
            </w:r>
            <w:r>
              <w:rPr>
                <w:rFonts w:ascii="宋体" w:hAnsi="宋体" w:eastAsia="宋体" w:cs="宋体"/>
                <w:color w:val="000000"/>
                <w:sz w:val="24"/>
                <w:szCs w:val="24"/>
                <w:lang w:val="en-US" w:eastAsia="zh-CN"/>
              </w:rPr>
            </w:r>
            <w:r/>
          </w:p>
        </w:tc>
      </w:tr>
      <w:tr>
        <w:trPr>
          <w:cantSplit/>
          <w:trHeight w:val="222"/>
        </w:trPr>
        <w:tc>
          <w:tcPr>
            <w:tcW w:w="790" w:type="dxa"/>
            <w:vAlign w:val="top"/>
            <w:textDirection w:val="lrTb"/>
            <w:noWrap w:val="false"/>
          </w:tcPr>
          <w:p>
            <w:pPr>
              <w:pStyle w:val="887"/>
              <w:jc w:val="cente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898" w:type="dxa"/>
            <w:vAlign w:val="top"/>
            <w:textDirection w:val="lrTb"/>
            <w:noWrap w:val="false"/>
          </w:tcPr>
          <w:p>
            <w:pPr>
              <w:pStyle w:val="887"/>
              <w:jc w:val="cente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3591" w:type="dxa"/>
            <w:vAlign w:val="top"/>
            <w:textDirection w:val="lrTb"/>
            <w:noWrap w:val="false"/>
          </w:tcPr>
          <w:p>
            <w:pPr>
              <w:pStyle w:val="887"/>
              <w:jc w:val="center"/>
              <w:spacing w:line="0" w:lineRule="atLeast"/>
              <w:rPr>
                <w:rFonts w:ascii="宋体" w:hAnsi="宋体" w:eastAsia="宋体" w:cs="宋体"/>
                <w:sz w:val="24"/>
                <w:szCs w:val="24"/>
                <w:lang w:val="en-US"/>
              </w:rPr>
            </w:pPr>
            <w:r>
              <w:rPr>
                <w:rFonts w:hint="eastAsia" w:ascii="宋体" w:hAnsi="宋体" w:eastAsia="宋体" w:cs="宋体"/>
                <w:color w:val="000000"/>
                <w:sz w:val="24"/>
                <w:szCs w:val="24"/>
                <w:lang w:val="en-US" w:eastAsia="zh-CN"/>
              </w:rPr>
              <w:t xml:space="preserve">后勤楼宇物业管理费A</w:t>
            </w:r>
            <w:r>
              <w:rPr>
                <w:rFonts w:ascii="宋体" w:hAnsi="宋体" w:eastAsia="宋体" w:cs="宋体"/>
                <w:sz w:val="24"/>
                <w:szCs w:val="24"/>
                <w:lang w:val="en-US"/>
              </w:rPr>
            </w:r>
            <w:r/>
          </w:p>
        </w:tc>
        <w:tc>
          <w:tcPr>
            <w:tcW w:w="2438" w:type="dxa"/>
            <w:vAlign w:val="top"/>
            <w:textDirection w:val="lrTb"/>
            <w:noWrap w:val="false"/>
          </w:tcPr>
          <w:p>
            <w:pPr>
              <w:pStyle w:val="887"/>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物业管理服务</w:t>
            </w:r>
            <w:r>
              <w:rPr>
                <w:rFonts w:hint="eastAsia" w:ascii="宋体" w:hAnsi="宋体" w:eastAsia="宋体" w:cs="宋体"/>
                <w:sz w:val="24"/>
                <w:szCs w:val="24"/>
              </w:rPr>
            </w:r>
            <w:r/>
          </w:p>
        </w:tc>
      </w:tr>
    </w:tbl>
    <w:p>
      <w:pPr>
        <w:pStyle w:val="887"/>
        <w:spacing w:line="560" w:lineRule="exact"/>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t xml:space="preserve">二、政府采购中实施本国产品标准及相关政策</w:t>
      </w:r>
      <w:r>
        <w:rPr>
          <w:rFonts w:hint="eastAsia" w:ascii="宋体" w:hAnsi="宋体" w:eastAsia="宋体" w:cs="宋体"/>
          <w:b/>
          <w:bCs w:val="0"/>
          <w:sz w:val="28"/>
          <w:szCs w:val="28"/>
          <w:lang w:val="en-US" w:eastAsia="zh-CN" w:bidi="ar-SA"/>
        </w:rPr>
      </w:r>
      <w:r/>
    </w:p>
    <w:p>
      <w:pPr>
        <w:pStyle w:val="887"/>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宋体" w:hAnsi="宋体" w:eastAsia="宋体" w:cs="宋体"/>
          <w:bCs/>
          <w:color w:val="000000"/>
          <w:sz w:val="24"/>
          <w:szCs w:val="24"/>
        </w:rPr>
      </w:r>
      <w:r/>
    </w:p>
    <w:p>
      <w:pPr>
        <w:pStyle w:val="887"/>
        <w:ind w:firstLine="482"/>
        <w:spacing w:line="560" w:lineRule="exact"/>
        <w:rPr>
          <w:rFonts w:hint="eastAsia" w:ascii="宋体" w:hAnsi="宋体" w:eastAsia="宋体" w:cs="宋体"/>
          <w:bCs/>
          <w:color w:val="000000"/>
          <w:sz w:val="24"/>
          <w:szCs w:val="24"/>
        </w:rPr>
      </w:pPr>
      <w:r>
        <w:rPr>
          <w:rFonts w:hint="eastAsia" w:ascii="宋体" w:hAnsi="宋体" w:eastAsia="宋体" w:cs="宋体"/>
          <w:b/>
          <w:color w:val="000000"/>
          <w:sz w:val="24"/>
          <w:szCs w:val="24"/>
        </w:rPr>
        <w:t xml:space="preserve">2.本国产品标准适用于服务项目中涉及的货物。</w:t>
      </w:r>
      <w:r>
        <w:rPr>
          <w:rFonts w:hint="eastAsia" w:ascii="宋体" w:hAnsi="宋体" w:eastAsia="宋体" w:cs="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rPr>
      </w:r>
      <w:r/>
    </w:p>
    <w:p>
      <w:pPr>
        <w:pStyle w:val="887"/>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szCs w:val="24"/>
        </w:rPr>
      </w:r>
      <w:r/>
    </w:p>
    <w:p>
      <w:pPr>
        <w:pStyle w:val="952"/>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三、技术要求</w:t>
      </w:r>
      <w:r>
        <w:rPr>
          <w:rFonts w:hint="eastAsia" w:ascii="宋体" w:hAnsi="宋体" w:eastAsia="宋体" w:cs="宋体"/>
          <w:b/>
          <w:bCs w:val="0"/>
          <w:sz w:val="28"/>
          <w:szCs w:val="28"/>
        </w:rPr>
      </w:r>
      <w:r/>
    </w:p>
    <w:p>
      <w:pPr>
        <w:pStyle w:val="887"/>
        <w:ind w:firstLine="480"/>
        <w:spacing w:line="560" w:lineRule="exact"/>
        <w:rPr>
          <w:rFonts w:hint="eastAsia" w:ascii="宋体" w:hAnsi="宋体" w:eastAsia="宋体" w:cs="宋体"/>
          <w:b/>
          <w:bCs/>
          <w:sz w:val="24"/>
          <w:szCs w:val="24"/>
        </w:rPr>
      </w:pPr>
      <w:r>
        <w:rPr>
          <w:rFonts w:hint="eastAsia" w:ascii="宋体" w:hAnsi="宋体" w:eastAsia="宋体" w:cs="宋体"/>
          <w:bCs/>
          <w:color w:val="000000"/>
          <w:sz w:val="24"/>
          <w:szCs w:val="24"/>
        </w:rPr>
        <w:t xml:space="preserve">技术要求是指对采购</w:t>
      </w:r>
      <w:r>
        <w:rPr>
          <w:rFonts w:hint="eastAsia" w:ascii="宋体" w:hAnsi="宋体" w:eastAsia="宋体" w:cs="宋体"/>
          <w:bCs/>
          <w:sz w:val="24"/>
          <w:szCs w:val="24"/>
        </w:rPr>
        <w:t xml:space="preserve">标的功能和质量要求，包括性能、材料、结构、外观、安全，或者服务内容和标准等。其中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rPr>
          <w:rFonts w:hint="eastAsia" w:ascii="宋体" w:hAnsi="宋体" w:eastAsia="宋体" w:cs="宋体"/>
          <w:b/>
          <w:bCs/>
          <w:sz w:val="24"/>
          <w:szCs w:val="24"/>
        </w:rPr>
      </w:r>
      <w:r/>
    </w:p>
    <w:p>
      <w:pPr>
        <w:pStyle w:val="887"/>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一、扬州工业职业技术学院楼宇物业管理项目概况：</w:t>
      </w:r>
      <w:r>
        <w:rPr>
          <w:rFonts w:hint="eastAsia" w:ascii="宋体" w:hAnsi="宋体" w:eastAsia="宋体" w:cs="宋体"/>
          <w:bCs/>
          <w:sz w:val="24"/>
          <w:szCs w:val="24"/>
          <w:highlight w:val="none"/>
        </w:rPr>
      </w:r>
      <w:r/>
    </w:p>
    <w:p>
      <w:pPr>
        <w:pStyle w:val="887"/>
        <w:ind w:firstLine="5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（一）地理位置：扬州市邗江区华扬西路199号，扬州工业职业技术学院</w:t>
      </w:r>
      <w:r>
        <w:rPr>
          <w:rFonts w:hint="eastAsia" w:ascii="宋体" w:hAnsi="宋体" w:eastAsia="宋体" w:cs="宋体"/>
          <w:sz w:val="24"/>
          <w:szCs w:val="24"/>
          <w:highlight w:val="none"/>
        </w:rPr>
      </w:r>
      <w:r/>
    </w:p>
    <w:p>
      <w:pPr>
        <w:pStyle w:val="887"/>
        <w:ind w:firstLine="5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（二）项目服务范围及包划分：</w:t>
      </w:r>
      <w:r>
        <w:rPr>
          <w:rFonts w:hint="eastAsia" w:ascii="宋体" w:hAnsi="宋体" w:eastAsia="宋体" w:cs="宋体"/>
          <w:sz w:val="24"/>
          <w:szCs w:val="24"/>
          <w:highlight w:val="none"/>
        </w:rPr>
      </w:r>
      <w:r/>
    </w:p>
    <w:p>
      <w:pPr>
        <w:pStyle w:val="887"/>
        <w:ind w:firstLine="480"/>
        <w:spacing w:line="360" w:lineRule="auto"/>
        <w:rPr>
          <w:rFonts w:hint="eastAsia" w:ascii="宋体" w:hAnsi="宋体" w:eastAsia="宋体" w:cs="宋体"/>
          <w:sz w:val="24"/>
          <w:szCs w:val="24"/>
          <w:highlight w:val="none"/>
        </w:rPr>
        <w:pBdr>
          <w:top w:val="none" w:color="000000" w:sz="0" w:space="1"/>
          <w:left w:val="none" w:color="000000" w:sz="0" w:space="4"/>
          <w:bottom w:val="none" w:color="000000" w:sz="0" w:space="1"/>
          <w:right w:val="none" w:color="000000" w:sz="0" w:space="4"/>
        </w:pBdr>
      </w:pPr>
      <w:r>
        <w:rPr>
          <w:rFonts w:hint="eastAsia" w:ascii="宋体" w:hAnsi="宋体" w:eastAsia="宋体" w:cs="宋体"/>
          <w:sz w:val="24"/>
          <w:szCs w:val="24"/>
          <w:highlight w:val="none"/>
        </w:rPr>
        <w:t xml:space="preserve">1.学校楼宇包括行政楼、教学楼、实训楼、体育馆等12栋和东西体育场，总面积约:25.9万平方。其中，文汇楼建筑面积 27017.4 平方、自清楼建筑面积33562.6平方、大学生活动中心建筑面积 3485 平方、维扬楼+大礼堂建筑面积7000平方、体育馆（含看台）建筑面积10885.1平方、高桥楼建筑面积33034平方、真州楼建筑面积29778平方、文峰楼建筑面积20054平方、华扬楼建筑面积19460平方、芸台楼建筑面积11001平方、东体育场30302平方、西体育场29205平方。</w:t>
      </w:r>
      <w:r>
        <w:rPr>
          <w:rFonts w:hint="eastAsia" w:ascii="宋体" w:hAnsi="宋体" w:eastAsia="宋体" w:cs="宋体"/>
          <w:sz w:val="24"/>
          <w:szCs w:val="24"/>
          <w:highlight w:val="none"/>
        </w:rPr>
      </w:r>
      <w:r/>
    </w:p>
    <w:p>
      <w:pPr>
        <w:pStyle w:val="887"/>
        <w:ind w:firstLine="480"/>
        <w:spacing w:line="360" w:lineRule="auto"/>
        <w:rPr>
          <w:rFonts w:hint="eastAsia" w:ascii="宋体" w:hAnsi="宋体" w:eastAsia="宋体" w:cs="宋体"/>
          <w:sz w:val="24"/>
          <w:szCs w:val="24"/>
          <w:highlight w:val="none"/>
        </w:rPr>
        <w:pBdr>
          <w:top w:val="none" w:color="000000" w:sz="0" w:space="1"/>
          <w:left w:val="none" w:color="000000" w:sz="0" w:space="4"/>
          <w:bottom w:val="none" w:color="000000" w:sz="0" w:space="1"/>
          <w:right w:val="none" w:color="000000" w:sz="0" w:space="4"/>
        </w:pBdr>
      </w:pPr>
      <w:r>
        <w:rPr>
          <w:rFonts w:hint="eastAsia" w:ascii="宋体" w:hAnsi="宋体" w:eastAsia="宋体" w:cs="宋体"/>
          <w:sz w:val="24"/>
          <w:szCs w:val="24"/>
          <w:highlight w:val="none"/>
        </w:rPr>
        <w:t xml:space="preserve">2.物业管理服务项目包括：楼宇公共区域、卫生间、教室、部分会议室、体育馆（含看台）、报告厅、门窗玻璃等保洁服务、水电设施设备维修保养、办公家具及课桌椅维修和保养、楼宇24小时安全管理服务、中大型考务活动保障服务、突发事件应急处置、物资搬运等。</w:t>
      </w:r>
      <w:r>
        <w:rPr>
          <w:rFonts w:hint="eastAsia" w:ascii="宋体" w:hAnsi="宋体" w:eastAsia="宋体" w:cs="宋体"/>
          <w:sz w:val="24"/>
          <w:szCs w:val="24"/>
          <w:highlight w:val="none"/>
        </w:rPr>
      </w:r>
      <w:r/>
    </w:p>
    <w:p>
      <w:pPr>
        <w:pStyle w:val="887"/>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3.本项目共分1包、2包。</w:t>
      </w:r>
      <w:r>
        <w:rPr>
          <w:rFonts w:hint="eastAsia" w:ascii="宋体" w:hAnsi="宋体" w:eastAsia="宋体" w:cs="宋体"/>
          <w:sz w:val="24"/>
          <w:szCs w:val="24"/>
          <w:highlight w:val="none"/>
        </w:rPr>
      </w:r>
      <w:r/>
    </w:p>
    <w:p>
      <w:pPr>
        <w:pStyle w:val="887"/>
        <w:ind w:firstLine="56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（1）分包1：文汇楼、高桥楼、真州楼、大学生活动中心、古津楼、体育馆(含看台)和西体育场。建筑面积约136000平方米。</w:t>
      </w:r>
      <w:r>
        <w:rPr>
          <w:rFonts w:hint="eastAsia" w:ascii="宋体" w:hAnsi="宋体" w:eastAsia="宋体" w:cs="宋体"/>
          <w:sz w:val="24"/>
          <w:szCs w:val="24"/>
          <w:highlight w:val="none"/>
        </w:rPr>
      </w:r>
      <w:r/>
    </w:p>
    <w:p>
      <w:pPr>
        <w:pStyle w:val="88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（2）分包2：自清楼、维扬楼、文峰楼、华扬楼、芸台楼、文筑馆和东体育场。建筑面积约123000平方米。</w:t>
      </w:r>
      <w:r>
        <w:rPr>
          <w:rFonts w:hint="eastAsia" w:ascii="宋体" w:hAnsi="宋体" w:eastAsia="宋体" w:cs="宋体"/>
          <w:sz w:val="24"/>
          <w:szCs w:val="24"/>
          <w:highlight w:val="none"/>
        </w:rPr>
      </w:r>
      <w:r/>
    </w:p>
    <w:p>
      <w:pPr>
        <w:pStyle w:val="887"/>
        <w:ind w:firstLine="5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（三）具体物业管理服务内容及考核标准详见附件。</w:t>
      </w:r>
      <w:r>
        <w:rPr>
          <w:rFonts w:hint="eastAsia" w:ascii="宋体" w:hAnsi="宋体" w:eastAsia="宋体" w:cs="宋体"/>
          <w:sz w:val="24"/>
          <w:szCs w:val="24"/>
          <w:highlight w:val="none"/>
        </w:rPr>
      </w:r>
      <w:r/>
    </w:p>
    <w:p>
      <w:pPr>
        <w:pStyle w:val="887"/>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二、楼宇物业用人基本要求和工作要求</w:t>
      </w:r>
      <w:r>
        <w:rPr>
          <w:rFonts w:hint="eastAsia" w:ascii="宋体" w:hAnsi="宋体" w:eastAsia="宋体" w:cs="宋体"/>
          <w:bCs/>
          <w:sz w:val="24"/>
          <w:szCs w:val="24"/>
          <w:highlight w:val="none"/>
        </w:rPr>
      </w:r>
      <w:r/>
    </w:p>
    <w:p>
      <w:pPr>
        <w:pStyle w:val="887"/>
        <w:ind w:firstLine="5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w:t>
      </w:r>
      <w:r>
        <w:rPr>
          <w:rFonts w:hint="eastAsia" w:ascii="宋体" w:hAnsi="宋体" w:eastAsia="宋体" w:cs="宋体"/>
          <w:b/>
          <w:sz w:val="24"/>
          <w:szCs w:val="24"/>
          <w:highlight w:val="none"/>
        </w:rPr>
        <w:t xml:space="preserve">物业用人基本要求</w:t>
      </w:r>
      <w:r>
        <w:rPr>
          <w:rFonts w:hint="eastAsia" w:ascii="宋体" w:hAnsi="宋体" w:eastAsia="宋体" w:cs="宋体"/>
          <w:sz w:val="24"/>
          <w:szCs w:val="24"/>
          <w:highlight w:val="none"/>
        </w:rPr>
      </w:r>
      <w:r/>
    </w:p>
    <w:p>
      <w:pPr>
        <w:pStyle w:val="887"/>
        <w:ind w:firstLine="5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管理与服务需要，分包1设项目经理1名、综合维修工1名、楼宇管理员（巡值人员）4名、保洁员24名(总人数不少于30人)；分包2设项目经理1名、综合维修工1名、楼宇管理员（巡值人员）4名、保洁员26名(总人数不少于32人)；</w:t>
      </w:r>
      <w:r>
        <w:rPr>
          <w:rFonts w:hint="eastAsia" w:ascii="宋体" w:hAnsi="宋体" w:eastAsia="宋体" w:cs="宋体"/>
          <w:sz w:val="24"/>
          <w:szCs w:val="24"/>
          <w:highlight w:val="none"/>
        </w:rPr>
      </w:r>
      <w:r/>
    </w:p>
    <w:p>
      <w:pPr>
        <w:pStyle w:val="887"/>
        <w:ind w:firstLine="5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分包1 基本人员如下：</w:t>
      </w:r>
      <w:r>
        <w:rPr>
          <w:rFonts w:hint="eastAsia" w:ascii="宋体" w:hAnsi="宋体" w:eastAsia="宋体" w:cs="宋体"/>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29"/>
        <w:gridCol w:w="1005"/>
        <w:gridCol w:w="1290"/>
        <w:gridCol w:w="1485"/>
        <w:gridCol w:w="1469"/>
        <w:gridCol w:w="816"/>
      </w:tblGrid>
      <w:tr>
        <w:trPr>
          <w:trHeight w:val="454" w:hRule="exact"/>
        </w:trPr>
        <w:tc>
          <w:tcPr>
            <w:tcW w:w="2529" w:type="dxa"/>
            <w:vAlign w:val="center"/>
            <w:vMerge w:val="restart"/>
            <w:textDirection w:val="lrTb"/>
            <w:noWrap w:val="false"/>
          </w:tcPr>
          <w:p>
            <w:pPr>
              <w:pStyle w:val="887"/>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项目名称</w:t>
            </w:r>
            <w:r>
              <w:rPr>
                <w:rFonts w:hint="eastAsia" w:ascii="宋体" w:hAnsi="宋体" w:eastAsia="宋体" w:cs="宋体"/>
                <w:b/>
                <w:bCs/>
                <w:sz w:val="24"/>
                <w:szCs w:val="24"/>
                <w:highlight w:val="none"/>
              </w:rPr>
            </w:r>
            <w:r/>
          </w:p>
        </w:tc>
        <w:tc>
          <w:tcPr>
            <w:gridSpan w:val="5"/>
            <w:tcW w:w="6065" w:type="dxa"/>
            <w:vAlign w:val="top"/>
            <w:textDirection w:val="lrTb"/>
            <w:noWrap w:val="false"/>
          </w:tcPr>
          <w:p>
            <w:pPr>
              <w:pStyle w:val="887"/>
              <w:jc w:val="center"/>
              <w:spacing w:line="360" w:lineRule="auto"/>
              <w:tabs>
                <w:tab w:val="left" w:pos="1236"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人员配备</w:t>
            </w:r>
            <w:r>
              <w:rPr>
                <w:rFonts w:hint="eastAsia" w:ascii="宋体" w:hAnsi="宋体" w:eastAsia="宋体" w:cs="宋体"/>
                <w:b/>
                <w:bCs/>
                <w:sz w:val="24"/>
                <w:szCs w:val="24"/>
                <w:highlight w:val="none"/>
              </w:rPr>
            </w:r>
            <w:r/>
          </w:p>
        </w:tc>
      </w:tr>
      <w:tr>
        <w:trPr>
          <w:trHeight w:val="1196" w:hRule="exact"/>
        </w:trPr>
        <w:tc>
          <w:tcPr>
            <w:tcW w:w="2529" w:type="dxa"/>
            <w:vAlign w:val="top"/>
            <w:vMerge w:val="continue"/>
            <w:textDirection w:val="lrTb"/>
            <w:noWrap w:val="false"/>
          </w:tcPr>
          <w:p>
            <w:pPr>
              <w:pStyle w:val="887"/>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1005" w:type="dxa"/>
            <w:vAlign w:val="top"/>
            <w:textDirection w:val="lrTb"/>
            <w:noWrap w:val="false"/>
          </w:tcPr>
          <w:p>
            <w:pPr>
              <w:pStyle w:val="887"/>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保洁员</w:t>
            </w:r>
            <w:r>
              <w:rPr>
                <w:rFonts w:hint="eastAsia" w:ascii="宋体" w:hAnsi="宋体" w:eastAsia="宋体" w:cs="宋体"/>
                <w:sz w:val="24"/>
                <w:szCs w:val="24"/>
                <w:highlight w:val="none"/>
              </w:rPr>
            </w:r>
            <w:r/>
          </w:p>
        </w:tc>
        <w:tc>
          <w:tcPr>
            <w:tcW w:w="1290" w:type="dxa"/>
            <w:vAlign w:val="top"/>
            <w:textDirection w:val="lrTb"/>
            <w:noWrap w:val="false"/>
          </w:tcPr>
          <w:p>
            <w:pPr>
              <w:pStyle w:val="887"/>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项目经理</w:t>
            </w:r>
            <w:r>
              <w:rPr>
                <w:rFonts w:hint="eastAsia" w:ascii="宋体" w:hAnsi="宋体" w:eastAsia="宋体" w:cs="宋体"/>
                <w:sz w:val="24"/>
                <w:szCs w:val="24"/>
                <w:highlight w:val="none"/>
              </w:rPr>
            </w:r>
            <w:r/>
          </w:p>
        </w:tc>
        <w:tc>
          <w:tcPr>
            <w:tcW w:w="1485" w:type="dxa"/>
            <w:vAlign w:val="top"/>
            <w:textDirection w:val="lrTb"/>
            <w:noWrap w:val="false"/>
          </w:tcPr>
          <w:p>
            <w:pPr>
              <w:pStyle w:val="887"/>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楼宇管理员(巡值人员)</w:t>
            </w:r>
            <w:r>
              <w:rPr>
                <w:rFonts w:hint="eastAsia" w:ascii="宋体" w:hAnsi="宋体" w:eastAsia="宋体" w:cs="宋体"/>
                <w:sz w:val="24"/>
                <w:szCs w:val="24"/>
                <w:highlight w:val="none"/>
              </w:rPr>
            </w:r>
            <w:r/>
          </w:p>
        </w:tc>
        <w:tc>
          <w:tcPr>
            <w:tcW w:w="1469" w:type="dxa"/>
            <w:vAlign w:val="top"/>
            <w:textDirection w:val="lrTb"/>
            <w:noWrap w:val="false"/>
          </w:tcPr>
          <w:p>
            <w:pPr>
              <w:pStyle w:val="887"/>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综合维修工</w:t>
            </w:r>
            <w:r>
              <w:rPr>
                <w:rFonts w:hint="eastAsia" w:ascii="宋体" w:hAnsi="宋体" w:eastAsia="宋体" w:cs="宋体"/>
                <w:sz w:val="24"/>
                <w:szCs w:val="24"/>
                <w:highlight w:val="none"/>
              </w:rPr>
            </w:r>
            <w:r/>
          </w:p>
        </w:tc>
        <w:tc>
          <w:tcPr>
            <w:tcW w:w="816" w:type="dxa"/>
            <w:vAlign w:val="top"/>
            <w:textDirection w:val="lrTb"/>
            <w:noWrap w:val="false"/>
          </w:tcPr>
          <w:p>
            <w:pPr>
              <w:pStyle w:val="887"/>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w:t>
            </w:r>
            <w:r>
              <w:rPr>
                <w:rFonts w:hint="eastAsia" w:ascii="宋体" w:hAnsi="宋体" w:eastAsia="宋体" w:cs="宋体"/>
                <w:sz w:val="24"/>
                <w:szCs w:val="24"/>
                <w:highlight w:val="none"/>
              </w:rPr>
            </w:r>
            <w:r/>
          </w:p>
        </w:tc>
      </w:tr>
      <w:tr>
        <w:trPr>
          <w:trHeight w:val="454" w:hRule="exact"/>
        </w:trPr>
        <w:tc>
          <w:tcPr>
            <w:tcW w:w="2529" w:type="dxa"/>
            <w:vAlign w:val="top"/>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文汇楼</w:t>
            </w:r>
            <w:r>
              <w:rPr>
                <w:rFonts w:hint="eastAsia" w:ascii="宋体" w:hAnsi="宋体" w:eastAsia="宋体" w:cs="宋体"/>
                <w:sz w:val="24"/>
                <w:szCs w:val="24"/>
                <w:highlight w:val="none"/>
              </w:rPr>
            </w:r>
            <w:r/>
          </w:p>
        </w:tc>
        <w:tc>
          <w:tcPr>
            <w:tcW w:w="1005" w:type="dxa"/>
            <w:vAlign w:val="center"/>
            <w:vMerge w:val="restart"/>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rPr>
                <w:rFonts w:hint="eastAsia" w:ascii="宋体" w:hAnsi="宋体" w:eastAsia="宋体" w:cs="宋体"/>
                <w:sz w:val="24"/>
                <w:szCs w:val="24"/>
                <w:highlight w:val="none"/>
              </w:rPr>
            </w:r>
            <w:r/>
          </w:p>
        </w:tc>
        <w:tc>
          <w:tcPr>
            <w:tcW w:w="1290" w:type="dxa"/>
            <w:vAlign w:val="center"/>
            <w:vMerge w:val="restart"/>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485" w:type="dxa"/>
            <w:vAlign w:val="center"/>
            <w:vMerge w:val="restart"/>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1469" w:type="dxa"/>
            <w:vAlign w:val="center"/>
            <w:vMerge w:val="restart"/>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816" w:type="dxa"/>
            <w:vAlign w:val="center"/>
            <w:vMerge w:val="restart"/>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rPr>
            </w:r>
            <w:r/>
          </w:p>
        </w:tc>
      </w:tr>
      <w:tr>
        <w:trPr>
          <w:trHeight w:val="454" w:hRule="exact"/>
        </w:trPr>
        <w:tc>
          <w:tcPr>
            <w:tcW w:w="2529" w:type="dxa"/>
            <w:vAlign w:val="top"/>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高桥楼</w:t>
            </w:r>
            <w:r>
              <w:rPr>
                <w:rFonts w:hint="eastAsia" w:ascii="宋体" w:hAnsi="宋体" w:eastAsia="宋体" w:cs="宋体"/>
                <w:sz w:val="24"/>
                <w:szCs w:val="24"/>
                <w:highlight w:val="none"/>
              </w:rPr>
            </w:r>
            <w:r/>
          </w:p>
        </w:tc>
        <w:tc>
          <w:tcPr>
            <w:tcW w:w="1005"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90"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85"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9"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16" w:type="dxa"/>
            <w:vAlign w:val="top"/>
            <w:vMerge w:val="continue"/>
            <w:textDirection w:val="lrTb"/>
            <w:noWrap w:val="false"/>
          </w:tcPr>
          <w:p>
            <w:pPr>
              <w:pStyle w:val="88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54" w:hRule="exact"/>
        </w:trPr>
        <w:tc>
          <w:tcPr>
            <w:tcW w:w="2529" w:type="dxa"/>
            <w:vAlign w:val="top"/>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真州楼</w:t>
            </w:r>
            <w:r>
              <w:rPr>
                <w:rFonts w:hint="eastAsia" w:ascii="宋体" w:hAnsi="宋体" w:eastAsia="宋体" w:cs="宋体"/>
                <w:sz w:val="24"/>
                <w:szCs w:val="24"/>
                <w:highlight w:val="none"/>
              </w:rPr>
            </w:r>
            <w:r/>
          </w:p>
        </w:tc>
        <w:tc>
          <w:tcPr>
            <w:tcW w:w="1005"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90"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85"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9"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16" w:type="dxa"/>
            <w:vAlign w:val="top"/>
            <w:vMerge w:val="continue"/>
            <w:textDirection w:val="lrTb"/>
            <w:noWrap w:val="false"/>
          </w:tcPr>
          <w:p>
            <w:pPr>
              <w:pStyle w:val="88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54" w:hRule="exact"/>
        </w:trPr>
        <w:tc>
          <w:tcPr>
            <w:tcW w:w="2529" w:type="dxa"/>
            <w:vAlign w:val="top"/>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大学生活动中心</w:t>
            </w:r>
            <w:r>
              <w:rPr>
                <w:rFonts w:hint="eastAsia" w:ascii="宋体" w:hAnsi="宋体" w:eastAsia="宋体" w:cs="宋体"/>
                <w:sz w:val="24"/>
                <w:szCs w:val="24"/>
                <w:highlight w:val="none"/>
              </w:rPr>
            </w:r>
            <w:r/>
          </w:p>
        </w:tc>
        <w:tc>
          <w:tcPr>
            <w:tcW w:w="1005"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90"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85"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9"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16" w:type="dxa"/>
            <w:vAlign w:val="top"/>
            <w:vMerge w:val="continue"/>
            <w:textDirection w:val="lrTb"/>
            <w:noWrap w:val="false"/>
          </w:tcPr>
          <w:p>
            <w:pPr>
              <w:pStyle w:val="88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06" w:hRule="exact"/>
        </w:trPr>
        <w:tc>
          <w:tcPr>
            <w:tcW w:w="2529" w:type="dxa"/>
            <w:vAlign w:val="center"/>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古津楼</w:t>
            </w:r>
            <w:r>
              <w:rPr>
                <w:rFonts w:hint="eastAsia" w:ascii="宋体" w:hAnsi="宋体" w:eastAsia="宋体" w:cs="宋体"/>
                <w:sz w:val="24"/>
                <w:szCs w:val="24"/>
                <w:highlight w:val="none"/>
              </w:rPr>
            </w:r>
            <w:r/>
          </w:p>
        </w:tc>
        <w:tc>
          <w:tcPr>
            <w:tcW w:w="1005"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90" w:type="dxa"/>
            <w:vAlign w:val="top"/>
            <w:vMerge w:val="continue"/>
            <w:textDirection w:val="lrTb"/>
            <w:noWrap w:val="false"/>
          </w:tcPr>
          <w:p>
            <w:pPr>
              <w:pStyle w:val="887"/>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85" w:type="dxa"/>
            <w:vAlign w:val="top"/>
            <w:vMerge w:val="continue"/>
            <w:textDirection w:val="lrTb"/>
            <w:noWrap w:val="false"/>
          </w:tcPr>
          <w:p>
            <w:pPr>
              <w:pStyle w:val="887"/>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9" w:type="dxa"/>
            <w:vAlign w:val="top"/>
            <w:vMerge w:val="continue"/>
            <w:textDirection w:val="lrTb"/>
            <w:noWrap w:val="false"/>
          </w:tcPr>
          <w:p>
            <w:pPr>
              <w:pStyle w:val="887"/>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16" w:type="dxa"/>
            <w:vAlign w:val="top"/>
            <w:vMerge w:val="continue"/>
            <w:textDirection w:val="lrTb"/>
            <w:noWrap w:val="false"/>
          </w:tcPr>
          <w:p>
            <w:pPr>
              <w:pStyle w:val="887"/>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31" w:hRule="exact"/>
        </w:trPr>
        <w:tc>
          <w:tcPr>
            <w:tcW w:w="2529" w:type="dxa"/>
            <w:vAlign w:val="center"/>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体育场馆（含看台）和西体育场</w:t>
            </w:r>
            <w:r>
              <w:rPr>
                <w:rFonts w:hint="eastAsia" w:ascii="宋体" w:hAnsi="宋体" w:eastAsia="宋体" w:cs="宋体"/>
                <w:sz w:val="24"/>
                <w:szCs w:val="24"/>
                <w:highlight w:val="none"/>
              </w:rPr>
            </w:r>
            <w:r/>
          </w:p>
        </w:tc>
        <w:tc>
          <w:tcPr>
            <w:tcW w:w="1005"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90" w:type="dxa"/>
            <w:vAlign w:val="top"/>
            <w:vMerge w:val="continue"/>
            <w:textDirection w:val="lrTb"/>
            <w:noWrap w:val="false"/>
          </w:tcPr>
          <w:p>
            <w:pPr>
              <w:pStyle w:val="887"/>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85" w:type="dxa"/>
            <w:vAlign w:val="top"/>
            <w:vMerge w:val="continue"/>
            <w:textDirection w:val="lrTb"/>
            <w:noWrap w:val="false"/>
          </w:tcPr>
          <w:p>
            <w:pPr>
              <w:pStyle w:val="887"/>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9" w:type="dxa"/>
            <w:vAlign w:val="top"/>
            <w:vMerge w:val="continue"/>
            <w:textDirection w:val="lrTb"/>
            <w:noWrap w:val="false"/>
          </w:tcPr>
          <w:p>
            <w:pPr>
              <w:pStyle w:val="887"/>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16" w:type="dxa"/>
            <w:vAlign w:val="top"/>
            <w:vMerge w:val="continue"/>
            <w:textDirection w:val="lrTb"/>
            <w:noWrap w:val="false"/>
          </w:tcPr>
          <w:p>
            <w:pPr>
              <w:pStyle w:val="887"/>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887"/>
        <w:ind w:firstLine="5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分包2 基本人员如下：</w:t>
      </w:r>
      <w:r>
        <w:rPr>
          <w:rFonts w:hint="eastAsia" w:ascii="宋体" w:hAnsi="宋体" w:eastAsia="宋体" w:cs="宋体"/>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1"/>
        <w:gridCol w:w="1119"/>
        <w:gridCol w:w="1392"/>
        <w:gridCol w:w="1843"/>
        <w:gridCol w:w="1290"/>
        <w:gridCol w:w="886"/>
      </w:tblGrid>
      <w:tr>
        <w:trPr>
          <w:trHeight w:val="454" w:hRule="exact"/>
        </w:trPr>
        <w:tc>
          <w:tcPr>
            <w:tcW w:w="1911" w:type="dxa"/>
            <w:vAlign w:val="center"/>
            <w:vMerge w:val="restart"/>
            <w:textDirection w:val="lrTb"/>
            <w:noWrap w:val="false"/>
          </w:tcPr>
          <w:p>
            <w:pPr>
              <w:pStyle w:val="887"/>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项目名称</w:t>
            </w:r>
            <w:r>
              <w:rPr>
                <w:rFonts w:hint="eastAsia" w:ascii="宋体" w:hAnsi="宋体" w:eastAsia="宋体" w:cs="宋体"/>
                <w:b/>
                <w:bCs/>
                <w:sz w:val="24"/>
                <w:szCs w:val="24"/>
                <w:highlight w:val="none"/>
              </w:rPr>
            </w:r>
            <w:r/>
          </w:p>
        </w:tc>
        <w:tc>
          <w:tcPr>
            <w:gridSpan w:val="5"/>
            <w:tcW w:w="6530" w:type="dxa"/>
            <w:vAlign w:val="top"/>
            <w:textDirection w:val="lrTb"/>
            <w:noWrap w:val="false"/>
          </w:tcPr>
          <w:p>
            <w:pPr>
              <w:pStyle w:val="887"/>
              <w:jc w:val="center"/>
              <w:spacing w:line="360" w:lineRule="auto"/>
              <w:tabs>
                <w:tab w:val="left" w:pos="1236"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人员配备</w:t>
            </w:r>
            <w:r>
              <w:rPr>
                <w:rFonts w:hint="eastAsia" w:ascii="宋体" w:hAnsi="宋体" w:eastAsia="宋体" w:cs="宋体"/>
                <w:b/>
                <w:bCs/>
                <w:sz w:val="24"/>
                <w:szCs w:val="24"/>
                <w:highlight w:val="none"/>
              </w:rPr>
            </w:r>
            <w:r/>
          </w:p>
        </w:tc>
      </w:tr>
      <w:tr>
        <w:trPr>
          <w:trHeight w:val="1125" w:hRule="exact"/>
        </w:trPr>
        <w:tc>
          <w:tcPr>
            <w:tcW w:w="1911" w:type="dxa"/>
            <w:vAlign w:val="top"/>
            <w:vMerge w:val="continue"/>
            <w:textDirection w:val="lrTb"/>
            <w:noWrap w:val="false"/>
          </w:tcPr>
          <w:p>
            <w:pPr>
              <w:pStyle w:val="887"/>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1119" w:type="dxa"/>
            <w:vAlign w:val="top"/>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保洁员</w:t>
            </w:r>
            <w:r>
              <w:rPr>
                <w:rFonts w:hint="eastAsia" w:ascii="宋体" w:hAnsi="宋体" w:eastAsia="宋体" w:cs="宋体"/>
                <w:sz w:val="24"/>
                <w:szCs w:val="24"/>
                <w:highlight w:val="none"/>
              </w:rPr>
            </w:r>
            <w:r/>
          </w:p>
        </w:tc>
        <w:tc>
          <w:tcPr>
            <w:tcW w:w="1392" w:type="dxa"/>
            <w:vAlign w:val="top"/>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rPr>
            </w:r>
            <w:r/>
          </w:p>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经理</w:t>
            </w:r>
            <w:r>
              <w:rPr>
                <w:rFonts w:hint="eastAsia" w:ascii="宋体" w:hAnsi="宋体" w:eastAsia="宋体" w:cs="宋体"/>
                <w:sz w:val="24"/>
                <w:szCs w:val="24"/>
                <w:highlight w:val="none"/>
              </w:rPr>
            </w:r>
            <w:r/>
          </w:p>
        </w:tc>
        <w:tc>
          <w:tcPr>
            <w:tcW w:w="1843" w:type="dxa"/>
            <w:vAlign w:val="top"/>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楼宇管理员</w:t>
            </w:r>
            <w:r>
              <w:rPr>
                <w:rFonts w:hint="eastAsia" w:ascii="宋体" w:hAnsi="宋体" w:eastAsia="宋体" w:cs="宋体"/>
                <w:sz w:val="24"/>
                <w:szCs w:val="24"/>
                <w:highlight w:val="none"/>
              </w:rPr>
            </w:r>
            <w:r/>
          </w:p>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(巡值人员)</w:t>
            </w:r>
            <w:r>
              <w:rPr>
                <w:rFonts w:hint="eastAsia" w:ascii="宋体" w:hAnsi="宋体" w:eastAsia="宋体" w:cs="宋体"/>
                <w:sz w:val="24"/>
                <w:szCs w:val="24"/>
                <w:highlight w:val="none"/>
              </w:rPr>
            </w:r>
            <w:r/>
          </w:p>
        </w:tc>
        <w:tc>
          <w:tcPr>
            <w:tcW w:w="1290" w:type="dxa"/>
            <w:vAlign w:val="top"/>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综合维修工</w:t>
            </w:r>
            <w:r>
              <w:rPr>
                <w:rFonts w:hint="eastAsia" w:ascii="宋体" w:hAnsi="宋体" w:eastAsia="宋体" w:cs="宋体"/>
                <w:sz w:val="24"/>
                <w:szCs w:val="24"/>
                <w:highlight w:val="none"/>
              </w:rPr>
            </w:r>
            <w:r/>
          </w:p>
        </w:tc>
        <w:tc>
          <w:tcPr>
            <w:tcW w:w="886" w:type="dxa"/>
            <w:vAlign w:val="top"/>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w:t>
            </w:r>
            <w:r>
              <w:rPr>
                <w:rFonts w:hint="eastAsia" w:ascii="宋体" w:hAnsi="宋体" w:eastAsia="宋体" w:cs="宋体"/>
                <w:sz w:val="24"/>
                <w:szCs w:val="24"/>
                <w:highlight w:val="none"/>
              </w:rPr>
            </w:r>
            <w:r/>
          </w:p>
        </w:tc>
      </w:tr>
      <w:tr>
        <w:trPr>
          <w:trHeight w:val="454" w:hRule="exact"/>
        </w:trPr>
        <w:tc>
          <w:tcPr>
            <w:tcW w:w="1911" w:type="dxa"/>
            <w:vAlign w:val="center"/>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自清楼</w:t>
            </w:r>
            <w:r>
              <w:rPr>
                <w:rFonts w:hint="eastAsia" w:ascii="宋体" w:hAnsi="宋体" w:eastAsia="宋体" w:cs="宋体"/>
                <w:sz w:val="24"/>
                <w:szCs w:val="24"/>
                <w:highlight w:val="none"/>
              </w:rPr>
            </w:r>
            <w:r/>
          </w:p>
        </w:tc>
        <w:tc>
          <w:tcPr>
            <w:tcW w:w="1119" w:type="dxa"/>
            <w:vAlign w:val="center"/>
            <w:vMerge w:val="restart"/>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w:t>
            </w:r>
            <w:r>
              <w:rPr>
                <w:rFonts w:hint="eastAsia" w:ascii="宋体" w:hAnsi="宋体" w:eastAsia="宋体" w:cs="宋体"/>
                <w:sz w:val="24"/>
                <w:szCs w:val="24"/>
                <w:highlight w:val="none"/>
              </w:rPr>
            </w:r>
            <w:r/>
          </w:p>
        </w:tc>
        <w:tc>
          <w:tcPr>
            <w:tcW w:w="1392" w:type="dxa"/>
            <w:vAlign w:val="center"/>
            <w:vMerge w:val="restart"/>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843" w:type="dxa"/>
            <w:vAlign w:val="center"/>
            <w:vMerge w:val="restart"/>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1290" w:type="dxa"/>
            <w:vAlign w:val="center"/>
            <w:vMerge w:val="restart"/>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886" w:type="dxa"/>
            <w:vAlign w:val="center"/>
            <w:vMerge w:val="restart"/>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w:t>
            </w:r>
            <w:r>
              <w:rPr>
                <w:rFonts w:hint="eastAsia" w:ascii="宋体" w:hAnsi="宋体" w:eastAsia="宋体" w:cs="宋体"/>
                <w:sz w:val="24"/>
                <w:szCs w:val="24"/>
                <w:highlight w:val="none"/>
              </w:rPr>
            </w:r>
            <w:r/>
          </w:p>
        </w:tc>
      </w:tr>
      <w:tr>
        <w:trPr>
          <w:trHeight w:val="978" w:hRule="exact"/>
        </w:trPr>
        <w:tc>
          <w:tcPr>
            <w:tcW w:w="1911" w:type="dxa"/>
            <w:vAlign w:val="center"/>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维扬楼+大礼堂</w:t>
            </w:r>
            <w:r>
              <w:rPr>
                <w:rFonts w:hint="eastAsia" w:ascii="宋体" w:hAnsi="宋体" w:eastAsia="宋体" w:cs="宋体"/>
                <w:sz w:val="24"/>
                <w:szCs w:val="24"/>
                <w:highlight w:val="none"/>
              </w:rPr>
            </w:r>
            <w:r/>
          </w:p>
        </w:tc>
        <w:tc>
          <w:tcPr>
            <w:tcW w:w="1119" w:type="dxa"/>
            <w:vAlign w:val="center"/>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2"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3"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90"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6" w:type="dxa"/>
            <w:vAlign w:val="top"/>
            <w:vMerge w:val="continue"/>
            <w:textDirection w:val="lrTb"/>
            <w:noWrap w:val="false"/>
          </w:tcPr>
          <w:p>
            <w:pPr>
              <w:pStyle w:val="88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54" w:hRule="exact"/>
        </w:trPr>
        <w:tc>
          <w:tcPr>
            <w:tcW w:w="1911" w:type="dxa"/>
            <w:vAlign w:val="center"/>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文峰楼</w:t>
            </w:r>
            <w:r>
              <w:rPr>
                <w:rFonts w:hint="eastAsia" w:ascii="宋体" w:hAnsi="宋体" w:eastAsia="宋体" w:cs="宋体"/>
                <w:sz w:val="24"/>
                <w:szCs w:val="24"/>
                <w:highlight w:val="none"/>
              </w:rPr>
            </w:r>
            <w:r/>
          </w:p>
        </w:tc>
        <w:tc>
          <w:tcPr>
            <w:tcW w:w="1119" w:type="dxa"/>
            <w:vAlign w:val="center"/>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2"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3"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90"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6" w:type="dxa"/>
            <w:vAlign w:val="top"/>
            <w:vMerge w:val="continue"/>
            <w:textDirection w:val="lrTb"/>
            <w:noWrap w:val="false"/>
          </w:tcPr>
          <w:p>
            <w:pPr>
              <w:pStyle w:val="88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54" w:hRule="exact"/>
        </w:trPr>
        <w:tc>
          <w:tcPr>
            <w:tcW w:w="1911" w:type="dxa"/>
            <w:vAlign w:val="center"/>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华扬楼</w:t>
            </w:r>
            <w:r>
              <w:rPr>
                <w:rFonts w:hint="eastAsia" w:ascii="宋体" w:hAnsi="宋体" w:eastAsia="宋体" w:cs="宋体"/>
                <w:sz w:val="24"/>
                <w:szCs w:val="24"/>
                <w:highlight w:val="none"/>
              </w:rPr>
            </w:r>
            <w:r/>
          </w:p>
        </w:tc>
        <w:tc>
          <w:tcPr>
            <w:tcW w:w="1119" w:type="dxa"/>
            <w:vAlign w:val="center"/>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2"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3"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90"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6" w:type="dxa"/>
            <w:vAlign w:val="top"/>
            <w:vMerge w:val="continue"/>
            <w:textDirection w:val="lrTb"/>
            <w:noWrap w:val="false"/>
          </w:tcPr>
          <w:p>
            <w:pPr>
              <w:pStyle w:val="88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06" w:hRule="exact"/>
        </w:trPr>
        <w:tc>
          <w:tcPr>
            <w:tcW w:w="1911" w:type="dxa"/>
            <w:vAlign w:val="center"/>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芸台楼</w:t>
            </w:r>
            <w:r>
              <w:rPr>
                <w:rFonts w:hint="eastAsia" w:ascii="宋体" w:hAnsi="宋体" w:eastAsia="宋体" w:cs="宋体"/>
                <w:sz w:val="24"/>
                <w:szCs w:val="24"/>
                <w:highlight w:val="none"/>
              </w:rPr>
            </w:r>
            <w:r/>
          </w:p>
        </w:tc>
        <w:tc>
          <w:tcPr>
            <w:tcW w:w="1119" w:type="dxa"/>
            <w:vAlign w:val="center"/>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2"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3"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90"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6" w:type="dxa"/>
            <w:vAlign w:val="top"/>
            <w:vMerge w:val="continue"/>
            <w:textDirection w:val="lrTb"/>
            <w:noWrap w:val="false"/>
          </w:tcPr>
          <w:p>
            <w:pPr>
              <w:pStyle w:val="88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06" w:hRule="exact"/>
        </w:trPr>
        <w:tc>
          <w:tcPr>
            <w:tcW w:w="1911" w:type="dxa"/>
            <w:vAlign w:val="center"/>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文筑馆+东体育馆</w:t>
            </w:r>
            <w:r>
              <w:rPr>
                <w:rFonts w:hint="eastAsia" w:ascii="宋体" w:hAnsi="宋体" w:eastAsia="宋体" w:cs="宋体"/>
                <w:sz w:val="24"/>
                <w:szCs w:val="24"/>
                <w:highlight w:val="none"/>
              </w:rPr>
            </w:r>
            <w:r/>
          </w:p>
        </w:tc>
        <w:tc>
          <w:tcPr>
            <w:tcW w:w="1119" w:type="dxa"/>
            <w:vAlign w:val="center"/>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2"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3"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90" w:type="dxa"/>
            <w:vAlign w:val="top"/>
            <w:vMerge w:val="continue"/>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6" w:type="dxa"/>
            <w:vAlign w:val="top"/>
            <w:vMerge w:val="continue"/>
            <w:textDirection w:val="lrTb"/>
            <w:noWrap w:val="false"/>
          </w:tcPr>
          <w:p>
            <w:pPr>
              <w:pStyle w:val="88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887"/>
        <w:ind w:firstLine="562"/>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（二）各分包用人总需求</w:t>
      </w:r>
      <w:r>
        <w:rPr>
          <w:rFonts w:hint="eastAsia" w:ascii="宋体" w:hAnsi="宋体" w:eastAsia="宋体" w:cs="宋体"/>
          <w:b/>
          <w:sz w:val="24"/>
          <w:szCs w:val="24"/>
          <w:highlight w:val="none"/>
        </w:rPr>
      </w:r>
      <w:r/>
    </w:p>
    <w:p>
      <w:pPr>
        <w:pStyle w:val="887"/>
        <w:ind w:firstLine="5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1.分包1需求总人数</w:t>
      </w:r>
      <w:r>
        <w:rPr>
          <w:rFonts w:hint="eastAsia" w:ascii="宋体" w:hAnsi="宋体" w:eastAsia="宋体" w:cs="宋体"/>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3118"/>
        <w:gridCol w:w="1276"/>
        <w:gridCol w:w="5792"/>
      </w:tblGrid>
      <w:tr>
        <w:trPr>
          <w:trHeight w:val="317"/>
        </w:trPr>
        <w:tc>
          <w:tcPr>
            <w:tcW w:w="913" w:type="dxa"/>
            <w:vAlign w:val="center"/>
            <w:textDirection w:val="lrTb"/>
            <w:noWrap w:val="false"/>
          </w:tcPr>
          <w:p>
            <w:pPr>
              <w:pStyle w:val="887"/>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3118" w:type="dxa"/>
            <w:vAlign w:val="center"/>
            <w:textDirection w:val="lrTb"/>
            <w:noWrap w:val="false"/>
          </w:tcPr>
          <w:p>
            <w:pPr>
              <w:pStyle w:val="887"/>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人员类别</w:t>
            </w:r>
            <w:r>
              <w:rPr>
                <w:rFonts w:hint="eastAsia" w:ascii="宋体" w:hAnsi="宋体" w:eastAsia="宋体" w:cs="宋体"/>
                <w:sz w:val="24"/>
                <w:szCs w:val="24"/>
                <w:highlight w:val="none"/>
              </w:rPr>
            </w:r>
            <w:r/>
          </w:p>
        </w:tc>
        <w:tc>
          <w:tcPr>
            <w:tcW w:w="1276" w:type="dxa"/>
            <w:vAlign w:val="center"/>
            <w:textDirection w:val="lrTb"/>
            <w:noWrap w:val="false"/>
          </w:tcPr>
          <w:p>
            <w:pPr>
              <w:pStyle w:val="887"/>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人数</w:t>
            </w:r>
            <w:r>
              <w:rPr>
                <w:rFonts w:hint="eastAsia" w:ascii="宋体" w:hAnsi="宋体" w:eastAsia="宋体" w:cs="宋体"/>
                <w:sz w:val="24"/>
                <w:szCs w:val="24"/>
                <w:highlight w:val="none"/>
              </w:rPr>
            </w:r>
            <w:r/>
          </w:p>
        </w:tc>
        <w:tc>
          <w:tcPr>
            <w:tcW w:w="5792" w:type="dxa"/>
            <w:vAlign w:val="center"/>
            <w:textDirection w:val="lrTb"/>
            <w:noWrap w:val="false"/>
          </w:tcPr>
          <w:p>
            <w:pPr>
              <w:pStyle w:val="887"/>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tc>
      </w:tr>
      <w:tr>
        <w:trPr>
          <w:trHeight w:val="317"/>
        </w:trPr>
        <w:tc>
          <w:tcPr>
            <w:tcW w:w="913" w:type="dxa"/>
            <w:vAlign w:val="center"/>
            <w:textDirection w:val="lrTb"/>
            <w:noWrap w:val="false"/>
          </w:tcPr>
          <w:p>
            <w:pPr>
              <w:pStyle w:val="887"/>
              <w:ind w:firstLine="200"/>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3118" w:type="dxa"/>
            <w:vAlign w:val="center"/>
            <w:textDirection w:val="lrTb"/>
            <w:noWrap w:val="false"/>
          </w:tcPr>
          <w:p>
            <w:pPr>
              <w:pStyle w:val="887"/>
              <w:ind w:firstLine="72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项目经理</w:t>
            </w:r>
            <w:r>
              <w:rPr>
                <w:rFonts w:hint="eastAsia" w:ascii="宋体" w:hAnsi="宋体" w:eastAsia="宋体" w:cs="宋体"/>
                <w:sz w:val="24"/>
                <w:szCs w:val="24"/>
                <w:highlight w:val="none"/>
              </w:rPr>
            </w:r>
            <w:r/>
          </w:p>
        </w:tc>
        <w:tc>
          <w:tcPr>
            <w:tcW w:w="1276" w:type="dxa"/>
            <w:vAlign w:val="center"/>
            <w:textDirection w:val="lrTb"/>
            <w:noWrap w:val="false"/>
          </w:tcPr>
          <w:p>
            <w:pPr>
              <w:pStyle w:val="887"/>
              <w:ind w:firstLine="200"/>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5792" w:type="dxa"/>
            <w:vAlign w:val="center"/>
            <w:textDirection w:val="lrTb"/>
            <w:noWrap w:val="false"/>
          </w:tcPr>
          <w:p>
            <w:pPr>
              <w:pStyle w:val="88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全面管理各项工作。</w:t>
            </w:r>
            <w:r>
              <w:rPr>
                <w:rFonts w:hint="eastAsia" w:ascii="宋体" w:hAnsi="宋体" w:eastAsia="宋体" w:cs="宋体"/>
                <w:sz w:val="24"/>
                <w:szCs w:val="24"/>
                <w:highlight w:val="none"/>
              </w:rPr>
            </w:r>
            <w:r/>
          </w:p>
        </w:tc>
      </w:tr>
      <w:tr>
        <w:trPr>
          <w:trHeight w:val="317"/>
        </w:trPr>
        <w:tc>
          <w:tcPr>
            <w:tcW w:w="913" w:type="dxa"/>
            <w:vAlign w:val="center"/>
            <w:textDirection w:val="lrTb"/>
            <w:noWrap w:val="false"/>
          </w:tcPr>
          <w:p>
            <w:pPr>
              <w:pStyle w:val="887"/>
              <w:ind w:firstLine="200"/>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3118" w:type="dxa"/>
            <w:vAlign w:val="center"/>
            <w:textDirection w:val="lrTb"/>
            <w:noWrap w:val="false"/>
          </w:tcPr>
          <w:p>
            <w:pPr>
              <w:pStyle w:val="88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楼宇管理员(巡值人员)</w:t>
            </w:r>
            <w:r>
              <w:rPr>
                <w:rFonts w:hint="eastAsia" w:ascii="宋体" w:hAnsi="宋体" w:eastAsia="宋体" w:cs="宋体"/>
                <w:sz w:val="24"/>
                <w:szCs w:val="24"/>
                <w:highlight w:val="none"/>
              </w:rPr>
            </w:r>
            <w:r/>
          </w:p>
        </w:tc>
        <w:tc>
          <w:tcPr>
            <w:tcW w:w="1276" w:type="dxa"/>
            <w:vAlign w:val="center"/>
            <w:textDirection w:val="lrTb"/>
            <w:noWrap w:val="false"/>
          </w:tcPr>
          <w:p>
            <w:pPr>
              <w:pStyle w:val="887"/>
              <w:ind w:firstLine="200"/>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5792" w:type="dxa"/>
            <w:vAlign w:val="center"/>
            <w:textDirection w:val="lrTb"/>
            <w:noWrap w:val="false"/>
          </w:tcPr>
          <w:p>
            <w:pPr>
              <w:pStyle w:val="887"/>
              <w:spacing w:line="560" w:lineRule="exact"/>
              <w:rPr>
                <w:rFonts w:hint="eastAsia" w:ascii="宋体" w:hAnsi="宋体" w:eastAsia="宋体" w:cs="宋体"/>
                <w:sz w:val="24"/>
                <w:szCs w:val="24"/>
                <w:highlight w:val="none"/>
              </w:rPr>
            </w:pPr>
            <w:r/>
            <w:bookmarkStart w:id="193" w:name="OLE_LINK4"/>
            <w:r>
              <w:rPr>
                <w:rFonts w:hint="eastAsia" w:ascii="宋体" w:hAnsi="宋体" w:eastAsia="宋体" w:cs="宋体"/>
                <w:sz w:val="24"/>
                <w:szCs w:val="24"/>
                <w:highlight w:val="none"/>
              </w:rPr>
              <w:t xml:space="preserve">实行24小时安全管理。值班地点：体育馆。负责分包1的楼宇的安全巡查。</w:t>
            </w:r>
            <w:bookmarkEnd w:id="193"/>
            <w:r>
              <w:rPr>
                <w:rFonts w:hint="eastAsia" w:ascii="宋体" w:hAnsi="宋体" w:eastAsia="宋体" w:cs="宋体"/>
                <w:sz w:val="24"/>
                <w:szCs w:val="24"/>
                <w:highlight w:val="none"/>
              </w:rPr>
            </w:r>
            <w:r/>
          </w:p>
        </w:tc>
      </w:tr>
      <w:tr>
        <w:trPr>
          <w:trHeight w:val="317"/>
        </w:trPr>
        <w:tc>
          <w:tcPr>
            <w:tcW w:w="913" w:type="dxa"/>
            <w:vAlign w:val="center"/>
            <w:textDirection w:val="lrTb"/>
            <w:noWrap w:val="false"/>
          </w:tcPr>
          <w:p>
            <w:pPr>
              <w:pStyle w:val="887"/>
              <w:ind w:firstLine="200"/>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3118" w:type="dxa"/>
            <w:vAlign w:val="center"/>
            <w:textDirection w:val="lrTb"/>
            <w:noWrap w:val="false"/>
          </w:tcPr>
          <w:p>
            <w:pPr>
              <w:pStyle w:val="887"/>
              <w:ind w:firstLine="200"/>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综合维修工</w:t>
            </w:r>
            <w:r>
              <w:rPr>
                <w:rFonts w:hint="eastAsia" w:ascii="宋体" w:hAnsi="宋体" w:eastAsia="宋体" w:cs="宋体"/>
                <w:sz w:val="24"/>
                <w:szCs w:val="24"/>
                <w:highlight w:val="none"/>
              </w:rPr>
            </w:r>
            <w:r/>
          </w:p>
        </w:tc>
        <w:tc>
          <w:tcPr>
            <w:tcW w:w="1276" w:type="dxa"/>
            <w:vAlign w:val="center"/>
            <w:textDirection w:val="lrTb"/>
            <w:noWrap w:val="false"/>
          </w:tcPr>
          <w:p>
            <w:pPr>
              <w:pStyle w:val="887"/>
              <w:ind w:firstLine="200"/>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5792" w:type="dxa"/>
            <w:vAlign w:val="center"/>
            <w:textDirection w:val="lrTb"/>
            <w:noWrap w:val="false"/>
          </w:tcPr>
          <w:p>
            <w:pPr>
              <w:pStyle w:val="887"/>
              <w:spacing w:line="560" w:lineRule="exact"/>
              <w:rPr>
                <w:rFonts w:hint="eastAsia" w:ascii="宋体" w:hAnsi="宋体" w:eastAsia="宋体" w:cs="宋体"/>
                <w:sz w:val="24"/>
                <w:szCs w:val="24"/>
                <w:highlight w:val="none"/>
              </w:rPr>
            </w:pPr>
            <w:r/>
            <w:bookmarkStart w:id="194" w:name="OLE_LINK5"/>
            <w:r>
              <w:rPr>
                <w:rFonts w:hint="eastAsia" w:ascii="宋体" w:hAnsi="宋体" w:eastAsia="宋体" w:cs="宋体"/>
                <w:sz w:val="24"/>
                <w:szCs w:val="24"/>
                <w:highlight w:val="none"/>
              </w:rPr>
              <w:t xml:space="preserve">负责日常零星维修等。</w:t>
            </w:r>
            <w:bookmarkEnd w:id="194"/>
            <w:r>
              <w:rPr>
                <w:rFonts w:hint="eastAsia" w:ascii="宋体" w:hAnsi="宋体" w:eastAsia="宋体" w:cs="宋体"/>
                <w:sz w:val="24"/>
                <w:szCs w:val="24"/>
                <w:highlight w:val="none"/>
              </w:rPr>
            </w:r>
            <w:r/>
          </w:p>
        </w:tc>
      </w:tr>
      <w:tr>
        <w:trPr>
          <w:trHeight w:val="317"/>
        </w:trPr>
        <w:tc>
          <w:tcPr>
            <w:tcW w:w="913" w:type="dxa"/>
            <w:vAlign w:val="center"/>
            <w:textDirection w:val="lrTb"/>
            <w:noWrap w:val="false"/>
          </w:tcPr>
          <w:p>
            <w:pPr>
              <w:pStyle w:val="887"/>
              <w:ind w:firstLine="200"/>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3118" w:type="dxa"/>
            <w:vAlign w:val="center"/>
            <w:textDirection w:val="lrTb"/>
            <w:noWrap w:val="false"/>
          </w:tcPr>
          <w:p>
            <w:pPr>
              <w:pStyle w:val="887"/>
              <w:ind w:firstLine="200"/>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保洁员</w:t>
            </w:r>
            <w:r>
              <w:rPr>
                <w:rFonts w:hint="eastAsia" w:ascii="宋体" w:hAnsi="宋体" w:eastAsia="宋体" w:cs="宋体"/>
                <w:sz w:val="24"/>
                <w:szCs w:val="24"/>
                <w:highlight w:val="none"/>
              </w:rPr>
            </w:r>
            <w:r/>
          </w:p>
        </w:tc>
        <w:tc>
          <w:tcPr>
            <w:tcW w:w="1276" w:type="dxa"/>
            <w:vAlign w:val="center"/>
            <w:textDirection w:val="lrTb"/>
            <w:noWrap w:val="false"/>
          </w:tcPr>
          <w:p>
            <w:pPr>
              <w:pStyle w:val="887"/>
              <w:ind w:firstLine="200"/>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rPr>
                <w:rFonts w:hint="eastAsia" w:ascii="宋体" w:hAnsi="宋体" w:eastAsia="宋体" w:cs="宋体"/>
                <w:sz w:val="24"/>
                <w:szCs w:val="24"/>
                <w:highlight w:val="none"/>
              </w:rPr>
            </w:r>
            <w:r/>
          </w:p>
        </w:tc>
        <w:tc>
          <w:tcPr>
            <w:tcW w:w="5792" w:type="dxa"/>
            <w:vAlign w:val="center"/>
            <w:textDirection w:val="lrTb"/>
            <w:noWrap w:val="false"/>
          </w:tcPr>
          <w:p>
            <w:pPr>
              <w:pStyle w:val="88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循环保洁。</w:t>
            </w:r>
            <w:r>
              <w:rPr>
                <w:rFonts w:hint="eastAsia" w:ascii="宋体" w:hAnsi="宋体" w:eastAsia="宋体" w:cs="宋体"/>
                <w:sz w:val="24"/>
                <w:szCs w:val="24"/>
                <w:highlight w:val="none"/>
              </w:rPr>
            </w:r>
            <w:r/>
          </w:p>
        </w:tc>
      </w:tr>
      <w:tr>
        <w:trPr>
          <w:trHeight w:val="317"/>
        </w:trPr>
        <w:tc>
          <w:tcPr>
            <w:gridSpan w:val="2"/>
            <w:tcW w:w="4031" w:type="dxa"/>
            <w:vAlign w:val="center"/>
            <w:textDirection w:val="lrTb"/>
            <w:noWrap w:val="false"/>
          </w:tcPr>
          <w:p>
            <w:pPr>
              <w:pStyle w:val="887"/>
              <w:ind w:firstLine="200"/>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w:t>
            </w:r>
            <w:r>
              <w:rPr>
                <w:rFonts w:hint="eastAsia" w:ascii="宋体" w:hAnsi="宋体" w:eastAsia="宋体" w:cs="宋体"/>
                <w:sz w:val="24"/>
                <w:szCs w:val="24"/>
                <w:highlight w:val="none"/>
              </w:rPr>
            </w:r>
            <w:r/>
          </w:p>
        </w:tc>
        <w:tc>
          <w:tcPr>
            <w:tcW w:w="1276" w:type="dxa"/>
            <w:vAlign w:val="center"/>
            <w:textDirection w:val="lrTb"/>
            <w:noWrap w:val="false"/>
          </w:tcPr>
          <w:p>
            <w:pPr>
              <w:pStyle w:val="887"/>
              <w:ind w:firstLine="200"/>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rPr>
            </w:r>
            <w:r/>
          </w:p>
        </w:tc>
        <w:tc>
          <w:tcPr>
            <w:tcW w:w="5792" w:type="dxa"/>
            <w:vAlign w:val="center"/>
            <w:textDirection w:val="lrTb"/>
            <w:noWrap w:val="false"/>
          </w:tcPr>
          <w:p>
            <w:pPr>
              <w:pStyle w:val="887"/>
              <w:ind w:firstLine="20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887"/>
        <w:ind w:firstLine="5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2.分包2需求总人数</w:t>
      </w:r>
      <w:r>
        <w:rPr>
          <w:rFonts w:hint="eastAsia" w:ascii="宋体" w:hAnsi="宋体" w:eastAsia="宋体" w:cs="宋体"/>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2793"/>
        <w:gridCol w:w="1417"/>
        <w:gridCol w:w="4728"/>
      </w:tblGrid>
      <w:tr>
        <w:trPr>
          <w:trHeight w:val="317"/>
        </w:trPr>
        <w:tc>
          <w:tcPr>
            <w:tcW w:w="771" w:type="dxa"/>
            <w:vAlign w:val="center"/>
            <w:textDirection w:val="lrTb"/>
            <w:noWrap w:val="false"/>
          </w:tcPr>
          <w:p>
            <w:pPr>
              <w:pStyle w:val="887"/>
              <w:ind w:firstLine="200"/>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rPr>
                <w:rFonts w:hint="eastAsia" w:ascii="宋体" w:hAnsi="宋体" w:eastAsia="宋体" w:cs="宋体"/>
                <w:b/>
                <w:sz w:val="24"/>
                <w:szCs w:val="24"/>
                <w:highlight w:val="none"/>
              </w:rPr>
            </w:r>
            <w:r/>
          </w:p>
        </w:tc>
        <w:tc>
          <w:tcPr>
            <w:tcW w:w="2793" w:type="dxa"/>
            <w:vAlign w:val="center"/>
            <w:textDirection w:val="lrTb"/>
            <w:noWrap w:val="false"/>
          </w:tcPr>
          <w:p>
            <w:pPr>
              <w:pStyle w:val="887"/>
              <w:ind w:firstLine="200"/>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人员类别</w:t>
            </w:r>
            <w:r>
              <w:rPr>
                <w:rFonts w:hint="eastAsia" w:ascii="宋体" w:hAnsi="宋体" w:eastAsia="宋体" w:cs="宋体"/>
                <w:b/>
                <w:sz w:val="24"/>
                <w:szCs w:val="24"/>
                <w:highlight w:val="none"/>
              </w:rPr>
            </w:r>
            <w:r/>
          </w:p>
        </w:tc>
        <w:tc>
          <w:tcPr>
            <w:tcW w:w="1417" w:type="dxa"/>
            <w:vAlign w:val="center"/>
            <w:textDirection w:val="lrTb"/>
            <w:noWrap w:val="false"/>
          </w:tcPr>
          <w:p>
            <w:pPr>
              <w:pStyle w:val="887"/>
              <w:ind w:firstLine="200"/>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人数</w:t>
            </w:r>
            <w:r>
              <w:rPr>
                <w:rFonts w:hint="eastAsia" w:ascii="宋体" w:hAnsi="宋体" w:eastAsia="宋体" w:cs="宋体"/>
                <w:b/>
                <w:sz w:val="24"/>
                <w:szCs w:val="24"/>
                <w:highlight w:val="none"/>
              </w:rPr>
            </w:r>
            <w:r/>
          </w:p>
        </w:tc>
        <w:tc>
          <w:tcPr>
            <w:tcW w:w="4728" w:type="dxa"/>
            <w:vAlign w:val="center"/>
            <w:textDirection w:val="lrTb"/>
            <w:noWrap w:val="false"/>
          </w:tcPr>
          <w:p>
            <w:pPr>
              <w:pStyle w:val="887"/>
              <w:ind w:firstLine="200"/>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备注</w:t>
            </w:r>
            <w:r>
              <w:rPr>
                <w:rFonts w:hint="eastAsia" w:ascii="宋体" w:hAnsi="宋体" w:eastAsia="宋体" w:cs="宋体"/>
                <w:b/>
                <w:sz w:val="24"/>
                <w:szCs w:val="24"/>
                <w:highlight w:val="none"/>
              </w:rPr>
            </w:r>
            <w:r/>
          </w:p>
        </w:tc>
      </w:tr>
      <w:tr>
        <w:trPr>
          <w:trHeight w:val="317"/>
        </w:trPr>
        <w:tc>
          <w:tcPr>
            <w:tcW w:w="771" w:type="dxa"/>
            <w:vAlign w:val="center"/>
            <w:textDirection w:val="lrTb"/>
            <w:noWrap w:val="false"/>
          </w:tcPr>
          <w:p>
            <w:pPr>
              <w:pStyle w:val="887"/>
              <w:ind w:firstLine="200"/>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2793" w:type="dxa"/>
            <w:vAlign w:val="center"/>
            <w:textDirection w:val="lrTb"/>
            <w:noWrap w:val="false"/>
          </w:tcPr>
          <w:p>
            <w:pPr>
              <w:pStyle w:val="887"/>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项目经理</w:t>
            </w:r>
            <w:r>
              <w:rPr>
                <w:rFonts w:hint="eastAsia" w:ascii="宋体" w:hAnsi="宋体" w:eastAsia="宋体" w:cs="宋体"/>
                <w:sz w:val="24"/>
                <w:szCs w:val="24"/>
                <w:highlight w:val="none"/>
              </w:rPr>
            </w:r>
            <w:r/>
          </w:p>
        </w:tc>
        <w:tc>
          <w:tcPr>
            <w:tcW w:w="1417" w:type="dxa"/>
            <w:vAlign w:val="center"/>
            <w:textDirection w:val="lrTb"/>
            <w:noWrap w:val="false"/>
          </w:tcPr>
          <w:p>
            <w:pPr>
              <w:pStyle w:val="887"/>
              <w:ind w:firstLine="200"/>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4728" w:type="dxa"/>
            <w:vAlign w:val="center"/>
            <w:textDirection w:val="lrTb"/>
            <w:noWrap w:val="false"/>
          </w:tcPr>
          <w:p>
            <w:pPr>
              <w:pStyle w:val="88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全面管理各项工作。</w:t>
            </w:r>
            <w:r>
              <w:rPr>
                <w:rFonts w:hint="eastAsia" w:ascii="宋体" w:hAnsi="宋体" w:eastAsia="宋体" w:cs="宋体"/>
                <w:sz w:val="24"/>
                <w:szCs w:val="24"/>
                <w:highlight w:val="none"/>
              </w:rPr>
            </w:r>
            <w:r/>
          </w:p>
        </w:tc>
      </w:tr>
      <w:tr>
        <w:trPr>
          <w:trHeight w:val="317"/>
        </w:trPr>
        <w:tc>
          <w:tcPr>
            <w:tcW w:w="771" w:type="dxa"/>
            <w:vAlign w:val="center"/>
            <w:textDirection w:val="lrTb"/>
            <w:noWrap w:val="false"/>
          </w:tcPr>
          <w:p>
            <w:pPr>
              <w:pStyle w:val="887"/>
              <w:ind w:firstLine="200"/>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2793" w:type="dxa"/>
            <w:vAlign w:val="center"/>
            <w:textDirection w:val="lrTb"/>
            <w:noWrap w:val="false"/>
          </w:tcPr>
          <w:p>
            <w:pPr>
              <w:pStyle w:val="88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楼宇管理员(巡值人员)</w:t>
            </w:r>
            <w:r>
              <w:rPr>
                <w:rFonts w:hint="eastAsia" w:ascii="宋体" w:hAnsi="宋体" w:eastAsia="宋体" w:cs="宋体"/>
                <w:sz w:val="24"/>
                <w:szCs w:val="24"/>
                <w:highlight w:val="none"/>
              </w:rPr>
            </w:r>
            <w:r/>
          </w:p>
        </w:tc>
        <w:tc>
          <w:tcPr>
            <w:tcW w:w="1417" w:type="dxa"/>
            <w:vAlign w:val="center"/>
            <w:textDirection w:val="lrTb"/>
            <w:noWrap w:val="false"/>
          </w:tcPr>
          <w:p>
            <w:pPr>
              <w:pStyle w:val="887"/>
              <w:ind w:firstLine="200"/>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4728" w:type="dxa"/>
            <w:vAlign w:val="center"/>
            <w:textDirection w:val="lrTb"/>
            <w:noWrap w:val="false"/>
          </w:tcPr>
          <w:p>
            <w:pPr>
              <w:pStyle w:val="887"/>
              <w:spacing w:line="560" w:lineRule="exact"/>
              <w:rPr>
                <w:rFonts w:hint="eastAsia" w:ascii="宋体" w:hAnsi="宋体" w:eastAsia="宋体" w:cs="宋体"/>
                <w:sz w:val="24"/>
                <w:szCs w:val="24"/>
                <w:highlight w:val="none"/>
              </w:rPr>
            </w:pPr>
            <w:r/>
            <w:bookmarkStart w:id="195" w:name="OLE_LINK6"/>
            <w:r>
              <w:rPr>
                <w:rFonts w:hint="eastAsia" w:ascii="宋体" w:hAnsi="宋体" w:eastAsia="宋体" w:cs="宋体"/>
                <w:sz w:val="24"/>
                <w:szCs w:val="24"/>
                <w:highlight w:val="none"/>
              </w:rPr>
              <w:t xml:space="preserve">实行24小时安全管理</w:t>
            </w:r>
            <w:bookmarkEnd w:id="195"/>
            <w:r>
              <w:rPr>
                <w:rFonts w:hint="eastAsia" w:ascii="宋体" w:hAnsi="宋体" w:eastAsia="宋体" w:cs="宋体"/>
                <w:sz w:val="24"/>
                <w:szCs w:val="24"/>
                <w:highlight w:val="none"/>
              </w:rPr>
              <w:t xml:space="preserve">。值班地点：自清楼。负责分包2的楼宇的安全巡查。</w:t>
            </w:r>
            <w:r>
              <w:rPr>
                <w:rFonts w:hint="eastAsia" w:ascii="宋体" w:hAnsi="宋体" w:eastAsia="宋体" w:cs="宋体"/>
                <w:sz w:val="24"/>
                <w:szCs w:val="24"/>
                <w:highlight w:val="none"/>
              </w:rPr>
            </w:r>
            <w:r/>
          </w:p>
        </w:tc>
      </w:tr>
      <w:tr>
        <w:trPr>
          <w:trHeight w:val="317"/>
        </w:trPr>
        <w:tc>
          <w:tcPr>
            <w:tcW w:w="771" w:type="dxa"/>
            <w:vAlign w:val="center"/>
            <w:textDirection w:val="lrTb"/>
            <w:noWrap w:val="false"/>
          </w:tcPr>
          <w:p>
            <w:pPr>
              <w:pStyle w:val="887"/>
              <w:ind w:firstLine="200"/>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2793" w:type="dxa"/>
            <w:vAlign w:val="center"/>
            <w:textDirection w:val="lrTb"/>
            <w:noWrap w:val="false"/>
          </w:tcPr>
          <w:p>
            <w:pPr>
              <w:pStyle w:val="887"/>
              <w:ind w:firstLine="200"/>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综合维修工</w:t>
            </w:r>
            <w:r>
              <w:rPr>
                <w:rFonts w:hint="eastAsia" w:ascii="宋体" w:hAnsi="宋体" w:eastAsia="宋体" w:cs="宋体"/>
                <w:sz w:val="24"/>
                <w:szCs w:val="24"/>
                <w:highlight w:val="none"/>
              </w:rPr>
            </w:r>
            <w:r/>
          </w:p>
        </w:tc>
        <w:tc>
          <w:tcPr>
            <w:tcW w:w="1417" w:type="dxa"/>
            <w:vAlign w:val="center"/>
            <w:textDirection w:val="lrTb"/>
            <w:noWrap w:val="false"/>
          </w:tcPr>
          <w:p>
            <w:pPr>
              <w:pStyle w:val="887"/>
              <w:ind w:firstLine="200"/>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4728" w:type="dxa"/>
            <w:vAlign w:val="center"/>
            <w:textDirection w:val="lrTb"/>
            <w:noWrap w:val="false"/>
          </w:tcPr>
          <w:p>
            <w:pPr>
              <w:pStyle w:val="88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负责日常零星维修等。</w:t>
            </w:r>
            <w:r>
              <w:rPr>
                <w:rFonts w:hint="eastAsia" w:ascii="宋体" w:hAnsi="宋体" w:eastAsia="宋体" w:cs="宋体"/>
                <w:sz w:val="24"/>
                <w:szCs w:val="24"/>
                <w:highlight w:val="none"/>
              </w:rPr>
            </w:r>
            <w:r/>
          </w:p>
        </w:tc>
      </w:tr>
      <w:tr>
        <w:trPr>
          <w:trHeight w:val="317"/>
        </w:trPr>
        <w:tc>
          <w:tcPr>
            <w:tcW w:w="771" w:type="dxa"/>
            <w:vAlign w:val="center"/>
            <w:textDirection w:val="lrTb"/>
            <w:noWrap w:val="false"/>
          </w:tcPr>
          <w:p>
            <w:pPr>
              <w:pStyle w:val="887"/>
              <w:ind w:firstLine="200"/>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2793" w:type="dxa"/>
            <w:vAlign w:val="center"/>
            <w:textDirection w:val="lrTb"/>
            <w:noWrap w:val="false"/>
          </w:tcPr>
          <w:p>
            <w:pPr>
              <w:pStyle w:val="887"/>
              <w:ind w:firstLine="200"/>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保洁员</w:t>
            </w:r>
            <w:r>
              <w:rPr>
                <w:rFonts w:hint="eastAsia" w:ascii="宋体" w:hAnsi="宋体" w:eastAsia="宋体" w:cs="宋体"/>
                <w:sz w:val="24"/>
                <w:szCs w:val="24"/>
                <w:highlight w:val="none"/>
              </w:rPr>
            </w:r>
            <w:r/>
          </w:p>
        </w:tc>
        <w:tc>
          <w:tcPr>
            <w:tcW w:w="1417" w:type="dxa"/>
            <w:vAlign w:val="center"/>
            <w:textDirection w:val="lrTb"/>
            <w:noWrap w:val="false"/>
          </w:tcPr>
          <w:p>
            <w:pPr>
              <w:pStyle w:val="887"/>
              <w:ind w:firstLine="200"/>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w:t>
            </w:r>
            <w:r>
              <w:rPr>
                <w:rFonts w:hint="eastAsia" w:ascii="宋体" w:hAnsi="宋体" w:eastAsia="宋体" w:cs="宋体"/>
                <w:sz w:val="24"/>
                <w:szCs w:val="24"/>
                <w:highlight w:val="none"/>
              </w:rPr>
            </w:r>
            <w:r/>
          </w:p>
        </w:tc>
        <w:tc>
          <w:tcPr>
            <w:tcW w:w="4728" w:type="dxa"/>
            <w:vAlign w:val="center"/>
            <w:textDirection w:val="lrTb"/>
            <w:noWrap w:val="false"/>
          </w:tcPr>
          <w:p>
            <w:pPr>
              <w:pStyle w:val="88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循环保洁。</w:t>
            </w:r>
            <w:r>
              <w:rPr>
                <w:rFonts w:hint="eastAsia" w:ascii="宋体" w:hAnsi="宋体" w:eastAsia="宋体" w:cs="宋体"/>
                <w:sz w:val="24"/>
                <w:szCs w:val="24"/>
                <w:highlight w:val="none"/>
              </w:rPr>
            </w:r>
            <w:r/>
          </w:p>
        </w:tc>
      </w:tr>
      <w:tr>
        <w:trPr>
          <w:trHeight w:val="317"/>
        </w:trPr>
        <w:tc>
          <w:tcPr>
            <w:gridSpan w:val="2"/>
            <w:tcW w:w="3564" w:type="dxa"/>
            <w:vAlign w:val="center"/>
            <w:textDirection w:val="lrTb"/>
            <w:noWrap w:val="false"/>
          </w:tcPr>
          <w:p>
            <w:pPr>
              <w:pStyle w:val="887"/>
              <w:ind w:firstLine="200"/>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w:t>
            </w:r>
            <w:r>
              <w:rPr>
                <w:rFonts w:hint="eastAsia" w:ascii="宋体" w:hAnsi="宋体" w:eastAsia="宋体" w:cs="宋体"/>
                <w:sz w:val="24"/>
                <w:szCs w:val="24"/>
                <w:highlight w:val="none"/>
              </w:rPr>
            </w:r>
            <w:r/>
          </w:p>
        </w:tc>
        <w:tc>
          <w:tcPr>
            <w:tcW w:w="1417" w:type="dxa"/>
            <w:vAlign w:val="center"/>
            <w:textDirection w:val="lrTb"/>
            <w:noWrap w:val="false"/>
          </w:tcPr>
          <w:p>
            <w:pPr>
              <w:pStyle w:val="887"/>
              <w:ind w:firstLine="200"/>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w:t>
            </w:r>
            <w:r>
              <w:rPr>
                <w:rFonts w:hint="eastAsia" w:ascii="宋体" w:hAnsi="宋体" w:eastAsia="宋体" w:cs="宋体"/>
                <w:sz w:val="24"/>
                <w:szCs w:val="24"/>
                <w:highlight w:val="none"/>
              </w:rPr>
            </w:r>
            <w:r/>
          </w:p>
        </w:tc>
        <w:tc>
          <w:tcPr>
            <w:tcW w:w="4728" w:type="dxa"/>
            <w:vAlign w:val="center"/>
            <w:textDirection w:val="lrTb"/>
            <w:noWrap w:val="false"/>
          </w:tcPr>
          <w:p>
            <w:pPr>
              <w:pStyle w:val="887"/>
              <w:ind w:firstLine="20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887"/>
        <w:ind w:firstLine="562"/>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（三）人员资质与要求</w:t>
      </w:r>
      <w:r>
        <w:rPr>
          <w:rFonts w:hint="eastAsia" w:ascii="宋体" w:hAnsi="宋体" w:eastAsia="宋体" w:cs="宋体"/>
          <w:b/>
          <w:color w:val="000000"/>
          <w:sz w:val="24"/>
          <w:szCs w:val="24"/>
          <w:highlight w:val="none"/>
        </w:rPr>
      </w:r>
      <w:r/>
    </w:p>
    <w:p>
      <w:pPr>
        <w:pStyle w:val="991"/>
        <w:ind w:firstLine="5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人员用工的合法合规性及相应后果由中标方全面负责。中标方需每3个月为周期将人员社保等发放缴纳情况报招标方备案。中标方所有工作人员必须遵守国家的法律、法规及委托方的各项规章制度。具有上岗资质，无犯罪记录，身心健康，无不良嗜好；具有良好修养，爱岗敬业，责任心强，工作勤快，礼貌待人；相貌端正，着装统一，身体健康（无传染性疾病），</w:t>
      </w:r>
      <w:r>
        <w:rPr>
          <w:rFonts w:hint="eastAsia" w:ascii="宋体" w:hAnsi="宋体" w:eastAsia="宋体" w:cs="宋体"/>
          <w:color w:val="000000"/>
          <w:sz w:val="24"/>
          <w:szCs w:val="24"/>
          <w:highlight w:val="none"/>
        </w:rPr>
      </w:r>
      <w:r/>
    </w:p>
    <w:p>
      <w:pPr>
        <w:pStyle w:val="991"/>
        <w:ind w:firstLine="5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具体要求如下：</w:t>
      </w:r>
      <w:r>
        <w:rPr>
          <w:rFonts w:hint="eastAsia" w:ascii="宋体" w:hAnsi="宋体" w:eastAsia="宋体" w:cs="宋体"/>
          <w:color w:val="000000"/>
          <w:sz w:val="24"/>
          <w:szCs w:val="24"/>
          <w:highlight w:val="none"/>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863"/>
        <w:gridCol w:w="799"/>
        <w:gridCol w:w="8030"/>
      </w:tblGrid>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63" w:type="dxa"/>
            <w:vAlign w:val="center"/>
            <w:textDirection w:val="lrTb"/>
            <w:noWrap w:val="false"/>
          </w:tcPr>
          <w:p>
            <w:pPr>
              <w:pStyle w:val="887"/>
              <w:ind w:right="-57"/>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岗位</w:t>
            </w:r>
            <w:r>
              <w:rPr>
                <w:rFonts w:hint="eastAsia" w:ascii="宋体" w:hAnsi="宋体" w:eastAsia="宋体" w:cs="宋体"/>
                <w:b/>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99" w:type="dxa"/>
            <w:vAlign w:val="center"/>
            <w:textDirection w:val="lrTb"/>
            <w:noWrap w:val="false"/>
          </w:tcPr>
          <w:p>
            <w:pPr>
              <w:pStyle w:val="887"/>
              <w:ind w:right="-57" w:firstLine="34"/>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性别</w:t>
            </w:r>
            <w:r>
              <w:rPr>
                <w:rFonts w:hint="eastAsia" w:ascii="宋体" w:hAnsi="宋体" w:eastAsia="宋体" w:cs="宋体"/>
                <w:b/>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30" w:type="dxa"/>
            <w:vAlign w:val="center"/>
            <w:textDirection w:val="lrTb"/>
            <w:noWrap w:val="false"/>
          </w:tcPr>
          <w:p>
            <w:pPr>
              <w:pStyle w:val="887"/>
              <w:ind w:right="-57"/>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资质要求</w:t>
            </w:r>
            <w:r>
              <w:rPr>
                <w:rFonts w:hint="eastAsia" w:ascii="宋体" w:hAnsi="宋体" w:eastAsia="宋体" w:cs="宋体"/>
                <w:b/>
                <w:color w:val="000000"/>
                <w:sz w:val="24"/>
                <w:szCs w:val="24"/>
                <w:highlight w:val="none"/>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63" w:type="dxa"/>
            <w:vAlign w:val="center"/>
            <w:textDirection w:val="lrTb"/>
            <w:noWrap w:val="false"/>
          </w:tcPr>
          <w:p>
            <w:pPr>
              <w:pStyle w:val="887"/>
              <w:ind w:right="-5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99" w:type="dxa"/>
            <w:vAlign w:val="center"/>
            <w:textDirection w:val="lrTb"/>
            <w:noWrap w:val="false"/>
          </w:tcPr>
          <w:p>
            <w:pPr>
              <w:pStyle w:val="887"/>
              <w:ind w:right="-57" w:firstLine="34"/>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不限</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30" w:type="dxa"/>
            <w:vAlign w:val="center"/>
            <w:textDirection w:val="lrTb"/>
            <w:noWrap w:val="false"/>
          </w:tcPr>
          <w:p>
            <w:pPr>
              <w:pStyle w:val="88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1.本科或以上学历，具有中级及以上职称并具有职业等级高级及以上物业管理师证书；</w:t>
            </w:r>
            <w:r>
              <w:rPr>
                <w:rFonts w:hint="eastAsia" w:ascii="宋体" w:hAnsi="宋体" w:eastAsia="宋体" w:cs="宋体"/>
                <w:color w:val="000000"/>
                <w:sz w:val="24"/>
                <w:szCs w:val="24"/>
                <w:highlight w:val="none"/>
              </w:rPr>
            </w:r>
            <w:r/>
          </w:p>
          <w:p>
            <w:pPr>
              <w:pStyle w:val="88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政治素质好，业务能力强，工作责任感好，组织管理能力强。具有3年以上高校物业管理经验，善待员工，善于管理、善于沟通，做好与师生的沟通和协调工作。具有丰富的劳动关系协调能力，能独立处理一般劳务纠纷和矛盾；</w:t>
            </w:r>
            <w:r>
              <w:rPr>
                <w:rFonts w:hint="eastAsia" w:ascii="宋体" w:hAnsi="宋体" w:eastAsia="宋体" w:cs="宋体"/>
                <w:color w:val="000000"/>
                <w:sz w:val="24"/>
                <w:szCs w:val="24"/>
                <w:highlight w:val="none"/>
              </w:rPr>
            </w:r>
            <w:r/>
          </w:p>
          <w:p>
            <w:pPr>
              <w:pStyle w:val="88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3.具有一定信息化工作素养，熟练掌握常用办公软件。</w:t>
            </w:r>
            <w:r>
              <w:rPr>
                <w:rFonts w:hint="eastAsia" w:ascii="宋体" w:hAnsi="宋体" w:eastAsia="宋体" w:cs="宋体"/>
                <w:color w:val="000000"/>
                <w:sz w:val="24"/>
                <w:szCs w:val="24"/>
                <w:highlight w:val="none"/>
              </w:rPr>
            </w:r>
            <w:r/>
          </w:p>
          <w:p>
            <w:pPr>
              <w:pStyle w:val="88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4.合同期内不得任意更换，如果更换须提前一个月书面通知委托方并经委托方同意。</w:t>
            </w:r>
            <w:r>
              <w:rPr>
                <w:rFonts w:hint="eastAsia" w:ascii="宋体" w:hAnsi="宋体" w:eastAsia="宋体" w:cs="宋体"/>
                <w:color w:val="000000"/>
                <w:sz w:val="24"/>
                <w:szCs w:val="24"/>
                <w:highlight w:val="none"/>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63" w:type="dxa"/>
            <w:vAlign w:val="center"/>
            <w:textDirection w:val="lrTb"/>
            <w:noWrap w:val="false"/>
          </w:tcPr>
          <w:p>
            <w:pPr>
              <w:pStyle w:val="887"/>
              <w:ind w:right="-5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楼宇管理员（巡值人员）</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99" w:type="dxa"/>
            <w:vAlign w:val="center"/>
            <w:textDirection w:val="lrTb"/>
            <w:noWrap w:val="false"/>
          </w:tcPr>
          <w:p>
            <w:pPr>
              <w:pStyle w:val="887"/>
              <w:ind w:right="-57" w:firstLine="3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30" w:type="dxa"/>
            <w:vAlign w:val="center"/>
            <w:textDirection w:val="lrTb"/>
            <w:noWrap w:val="false"/>
          </w:tcPr>
          <w:p>
            <w:pPr>
              <w:pStyle w:val="887"/>
              <w:ind w:right="12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1.初中及以上学历；</w:t>
            </w:r>
            <w:r>
              <w:rPr>
                <w:rFonts w:hint="eastAsia" w:ascii="宋体" w:hAnsi="宋体" w:eastAsia="宋体" w:cs="宋体"/>
                <w:color w:val="000000"/>
                <w:sz w:val="24"/>
                <w:szCs w:val="24"/>
                <w:highlight w:val="none"/>
              </w:rPr>
            </w:r>
            <w:r/>
          </w:p>
          <w:p>
            <w:pPr>
              <w:pStyle w:val="887"/>
              <w:ind w:right="12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2.身体健康，五官端正、责任心强。遇突发情况必须第一时间上报处理；</w:t>
            </w:r>
            <w:r>
              <w:rPr>
                <w:rFonts w:hint="eastAsia" w:ascii="宋体" w:hAnsi="宋体" w:eastAsia="宋体" w:cs="宋体"/>
                <w:color w:val="000000"/>
                <w:sz w:val="24"/>
                <w:szCs w:val="24"/>
                <w:highlight w:val="none"/>
              </w:rPr>
            </w:r>
            <w:r/>
          </w:p>
          <w:p>
            <w:pPr>
              <w:pStyle w:val="887"/>
              <w:ind w:right="12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3.有一定的管理和服务岗位经历，形象好有亲和力，有良好的沟通能力和语言表达能力；</w:t>
            </w:r>
            <w:r>
              <w:rPr>
                <w:rFonts w:hint="eastAsia" w:ascii="宋体" w:hAnsi="宋体" w:eastAsia="宋体" w:cs="宋体"/>
                <w:color w:val="000000"/>
                <w:sz w:val="24"/>
                <w:szCs w:val="24"/>
                <w:highlight w:val="none"/>
              </w:rPr>
            </w:r>
            <w:r/>
          </w:p>
          <w:p>
            <w:pPr>
              <w:pStyle w:val="887"/>
              <w:ind w:right="12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4.具有一定信息化工作素养，熟练掌握常用办公软件。</w:t>
            </w:r>
            <w:r>
              <w:rPr>
                <w:rFonts w:hint="eastAsia" w:ascii="宋体" w:hAnsi="宋体" w:eastAsia="宋体" w:cs="宋体"/>
                <w:color w:val="000000"/>
                <w:sz w:val="24"/>
                <w:szCs w:val="24"/>
                <w:highlight w:val="none"/>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63" w:type="dxa"/>
            <w:vAlign w:val="center"/>
            <w:textDirection w:val="lrTb"/>
            <w:noWrap w:val="false"/>
          </w:tcPr>
          <w:p>
            <w:pPr>
              <w:pStyle w:val="887"/>
              <w:ind w:right="-5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综合维修工</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99" w:type="dxa"/>
            <w:vAlign w:val="center"/>
            <w:textDirection w:val="lrTb"/>
            <w:noWrap w:val="false"/>
          </w:tcPr>
          <w:p>
            <w:pPr>
              <w:pStyle w:val="887"/>
              <w:ind w:right="-57" w:firstLine="3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30" w:type="dxa"/>
            <w:vAlign w:val="center"/>
            <w:textDirection w:val="lrTb"/>
            <w:noWrap w:val="false"/>
          </w:tcPr>
          <w:p>
            <w:pPr>
              <w:pStyle w:val="887"/>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1.初中及以上学历;</w:t>
            </w:r>
            <w:r>
              <w:rPr>
                <w:rFonts w:hint="eastAsia" w:ascii="宋体" w:hAnsi="宋体" w:eastAsia="宋体" w:cs="宋体"/>
                <w:color w:val="000000"/>
                <w:sz w:val="24"/>
                <w:szCs w:val="24"/>
                <w:highlight w:val="none"/>
              </w:rPr>
            </w:r>
            <w:r/>
          </w:p>
          <w:p>
            <w:pPr>
              <w:pStyle w:val="887"/>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2.具有低压电工上岗证，须具备焊接和热切割作业证;</w:t>
            </w:r>
            <w:r>
              <w:rPr>
                <w:rFonts w:hint="eastAsia" w:ascii="宋体" w:hAnsi="宋体" w:eastAsia="宋体" w:cs="宋体"/>
                <w:color w:val="000000"/>
                <w:sz w:val="24"/>
                <w:szCs w:val="24"/>
                <w:highlight w:val="none"/>
              </w:rPr>
            </w:r>
            <w:r/>
          </w:p>
          <w:p>
            <w:pPr>
              <w:pStyle w:val="887"/>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3.工作责任心强、有专业知识，身体健康，非工作时间遇突发急修必须第一时间到岗处理。</w:t>
            </w:r>
            <w:r>
              <w:rPr>
                <w:rFonts w:hint="eastAsia" w:ascii="宋体" w:hAnsi="宋体" w:eastAsia="宋体" w:cs="宋体"/>
                <w:color w:val="000000"/>
                <w:sz w:val="24"/>
                <w:szCs w:val="24"/>
                <w:highlight w:val="none"/>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63" w:type="dxa"/>
            <w:vAlign w:val="center"/>
            <w:textDirection w:val="lrTb"/>
            <w:noWrap w:val="false"/>
          </w:tcPr>
          <w:p>
            <w:pPr>
              <w:pStyle w:val="887"/>
              <w:ind w:right="-57" w:firstLine="4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保洁员</w:t>
            </w:r>
            <w:r>
              <w:rPr>
                <w:rFonts w:hint="eastAsia" w:ascii="宋体" w:hAnsi="宋体" w:eastAsia="宋体" w:cs="宋体"/>
                <w:color w:val="000000"/>
                <w:sz w:val="24"/>
                <w:szCs w:val="24"/>
                <w:highlight w:val="none"/>
              </w:rPr>
            </w:r>
            <w:r/>
          </w:p>
          <w:p>
            <w:pPr>
              <w:pStyle w:val="887"/>
              <w:ind w:right="-5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(分包1中2名会务保)</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99" w:type="dxa"/>
            <w:vAlign w:val="center"/>
            <w:textDirection w:val="lrTb"/>
            <w:noWrap w:val="false"/>
          </w:tcPr>
          <w:p>
            <w:pPr>
              <w:pStyle w:val="887"/>
              <w:ind w:right="-57" w:firstLine="3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女</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30" w:type="dxa"/>
            <w:vAlign w:val="center"/>
            <w:textDirection w:val="lrTb"/>
            <w:noWrap w:val="false"/>
          </w:tcPr>
          <w:p>
            <w:pPr>
              <w:pStyle w:val="887"/>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初中以上文化、具有办公室、会议室保洁工作经验。身体健康。</w:t>
            </w:r>
            <w:r>
              <w:rPr>
                <w:rFonts w:hint="eastAsia" w:ascii="宋体" w:hAnsi="宋体" w:eastAsia="宋体" w:cs="宋体"/>
                <w:color w:val="000000"/>
                <w:sz w:val="24"/>
                <w:szCs w:val="24"/>
                <w:highlight w:val="none"/>
              </w:rPr>
            </w:r>
            <w:r/>
          </w:p>
        </w:tc>
      </w:tr>
      <w:tr>
        <w:trPr>
          <w:trHeight w:val="1148"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63" w:type="dxa"/>
            <w:vAlign w:val="center"/>
            <w:textDirection w:val="lrTb"/>
            <w:noWrap w:val="false"/>
          </w:tcPr>
          <w:p>
            <w:pPr>
              <w:pStyle w:val="887"/>
              <w:ind w:right="-57" w:firstLine="4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保洁员</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99" w:type="dxa"/>
            <w:vAlign w:val="center"/>
            <w:textDirection w:val="lrTb"/>
            <w:noWrap w:val="false"/>
          </w:tcPr>
          <w:p>
            <w:pPr>
              <w:pStyle w:val="887"/>
              <w:ind w:right="-57" w:firstLine="3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女</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30" w:type="dxa"/>
            <w:vAlign w:val="center"/>
            <w:textDirection w:val="lrTb"/>
            <w:noWrap w:val="false"/>
          </w:tcPr>
          <w:p>
            <w:pPr>
              <w:pStyle w:val="887"/>
              <w:ind w:right="12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初中以上文化、具有物业环境保洁工作经验。身体健康。</w:t>
            </w:r>
            <w:r>
              <w:rPr>
                <w:rFonts w:hint="eastAsia" w:ascii="宋体" w:hAnsi="宋体" w:eastAsia="宋体" w:cs="宋体"/>
                <w:color w:val="000000"/>
                <w:sz w:val="24"/>
                <w:szCs w:val="24"/>
                <w:highlight w:val="none"/>
              </w:rPr>
            </w:r>
            <w:r/>
          </w:p>
        </w:tc>
      </w:tr>
    </w:tbl>
    <w:p>
      <w:pPr>
        <w:pStyle w:val="887"/>
        <w:ind w:firstLine="562"/>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（四）工作要求</w:t>
      </w:r>
      <w:r>
        <w:rPr>
          <w:rFonts w:hint="eastAsia" w:ascii="宋体" w:hAnsi="宋体" w:eastAsia="宋体" w:cs="宋体"/>
          <w:b/>
          <w:color w:val="000000"/>
          <w:sz w:val="24"/>
          <w:szCs w:val="24"/>
          <w:highlight w:val="none"/>
        </w:rPr>
      </w:r>
      <w:r/>
    </w:p>
    <w:p>
      <w:pPr>
        <w:pStyle w:val="887"/>
        <w:ind w:firstLine="5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（1）项目经理、综合维修工、保洁员为常日班，楼宇管理员实行24小时安全管理。</w:t>
      </w:r>
      <w:r>
        <w:rPr>
          <w:rFonts w:hint="eastAsia" w:ascii="宋体" w:hAnsi="宋体" w:eastAsia="宋体" w:cs="宋体"/>
          <w:color w:val="000000"/>
          <w:sz w:val="24"/>
          <w:szCs w:val="24"/>
          <w:highlight w:val="none"/>
        </w:rPr>
      </w:r>
      <w:r/>
    </w:p>
    <w:p>
      <w:pPr>
        <w:pStyle w:val="887"/>
        <w:ind w:firstLine="5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（2）中标人从业人员必须服从学校日常临时工作安排，采购人参与对中标人从业人员的考核。</w:t>
      </w:r>
      <w:r>
        <w:rPr>
          <w:rFonts w:hint="eastAsia" w:ascii="宋体" w:hAnsi="宋体" w:eastAsia="宋体" w:cs="宋体"/>
          <w:color w:val="000000"/>
          <w:sz w:val="24"/>
          <w:szCs w:val="24"/>
          <w:highlight w:val="none"/>
        </w:rPr>
      </w:r>
      <w:r/>
    </w:p>
    <w:p>
      <w:pPr>
        <w:pStyle w:val="887"/>
        <w:ind w:firstLine="560"/>
        <w:spacing w:line="56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（3）中标人在服务中违反国家相关法规或行业规范，因过失造</w:t>
      </w:r>
      <w:r>
        <w:rPr>
          <w:rFonts w:hint="eastAsia" w:ascii="宋体" w:hAnsi="宋体" w:eastAsia="宋体" w:cs="宋体"/>
          <w:sz w:val="24"/>
          <w:szCs w:val="24"/>
          <w:highlight w:val="none"/>
        </w:rPr>
        <w:t xml:space="preserve">成他人人身伤亡的，均由中标人负责处理并承担经济和道义上的责任，招标人不承担任何责任。中标人违反国家相关法规，与聘用人员发生纠纷，均由中标人负责调解与处理，招标人不承担责任。</w:t>
      </w:r>
      <w:r>
        <w:rPr>
          <w:rFonts w:hint="eastAsia" w:ascii="宋体" w:hAnsi="宋体" w:eastAsia="宋体" w:cs="宋体"/>
          <w:sz w:val="24"/>
          <w:szCs w:val="24"/>
          <w:highlight w:val="none"/>
        </w:rPr>
      </w:r>
      <w:r/>
    </w:p>
    <w:p>
      <w:pPr>
        <w:pStyle w:val="887"/>
        <w:ind w:firstLine="5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（4）合同执行期间，请充分考虑政策性调整因素。遇政策性上调职工最低工资标准，如中标人人员工资，则按不低于当地最低工资标准执行，所需增加费用由中标人承担。</w:t>
      </w:r>
      <w:r>
        <w:rPr>
          <w:rFonts w:hint="eastAsia" w:ascii="宋体" w:hAnsi="宋体" w:eastAsia="宋体" w:cs="宋体"/>
          <w:sz w:val="24"/>
          <w:szCs w:val="24"/>
          <w:highlight w:val="none"/>
        </w:rPr>
      </w:r>
      <w:r/>
    </w:p>
    <w:p>
      <w:pPr>
        <w:pStyle w:val="887"/>
        <w:ind w:firstLine="5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（5）学校只提供水电等基本设施，其它一切所需人工、物料（如垃圾袋等）等费用均由中标人负担。</w:t>
      </w:r>
      <w:r>
        <w:rPr>
          <w:rFonts w:hint="eastAsia" w:ascii="宋体" w:hAnsi="宋体" w:eastAsia="宋体" w:cs="宋体"/>
          <w:sz w:val="24"/>
          <w:szCs w:val="24"/>
          <w:highlight w:val="none"/>
        </w:rPr>
      </w:r>
      <w:r/>
    </w:p>
    <w:p>
      <w:pPr>
        <w:pStyle w:val="887"/>
        <w:ind w:firstLine="5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（6）楼宇物业具体内容及考核标准见附件《扬州工业职业技术学院楼宇物业委托管理协议》。</w:t>
      </w:r>
      <w:r>
        <w:rPr>
          <w:rFonts w:hint="eastAsia" w:ascii="宋体" w:hAnsi="宋体" w:eastAsia="宋体" w:cs="宋体"/>
          <w:sz w:val="24"/>
          <w:szCs w:val="24"/>
          <w:highlight w:val="none"/>
        </w:rPr>
      </w:r>
      <w:r/>
    </w:p>
    <w:p>
      <w:pPr>
        <w:pStyle w:val="887"/>
        <w:ind w:firstLine="5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（7）设有服务接待联络人，公示服务电话。各种维修保修服务能够及时得到处理。</w:t>
      </w:r>
      <w:r>
        <w:rPr>
          <w:rFonts w:hint="eastAsia" w:ascii="宋体" w:hAnsi="宋体" w:eastAsia="宋体" w:cs="宋体"/>
          <w:sz w:val="24"/>
          <w:szCs w:val="24"/>
          <w:highlight w:val="none"/>
        </w:rPr>
      </w:r>
      <w:r/>
    </w:p>
    <w:p>
      <w:pPr>
        <w:pStyle w:val="887"/>
        <w:ind w:firstLine="5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（8）学校每年有寒暑假，约3个月计90天。寒暑假期间工作量降低，人员可以轮流值班，请投标人在</w:t>
      </w:r>
      <w:r>
        <w:rPr>
          <w:rFonts w:hint="eastAsia" w:ascii="宋体" w:hAnsi="宋体" w:eastAsia="宋体" w:cs="宋体"/>
          <w:color w:val="000000"/>
          <w:sz w:val="24"/>
          <w:szCs w:val="24"/>
          <w:highlight w:val="none"/>
          <w:lang w:bidi="ar"/>
        </w:rPr>
        <w:t xml:space="preserve">报价</w:t>
      </w:r>
      <w:r>
        <w:rPr>
          <w:rFonts w:hint="eastAsia" w:ascii="宋体" w:hAnsi="宋体" w:eastAsia="宋体" w:cs="宋体"/>
          <w:sz w:val="24"/>
          <w:szCs w:val="24"/>
          <w:highlight w:val="none"/>
        </w:rPr>
        <w:t xml:space="preserve">中酌情考虑。</w:t>
      </w:r>
      <w:r>
        <w:rPr>
          <w:rFonts w:hint="eastAsia" w:ascii="宋体" w:hAnsi="宋体" w:eastAsia="宋体" w:cs="宋体"/>
          <w:sz w:val="24"/>
          <w:szCs w:val="24"/>
          <w:highlight w:val="none"/>
        </w:rPr>
      </w:r>
      <w:r/>
    </w:p>
    <w:p>
      <w:pPr>
        <w:pStyle w:val="887"/>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三、楼宇物业服务质量控制标准</w:t>
      </w:r>
      <w:r>
        <w:rPr>
          <w:rFonts w:hint="eastAsia" w:ascii="宋体" w:hAnsi="宋体" w:eastAsia="宋体" w:cs="宋体"/>
          <w:bCs/>
          <w:sz w:val="24"/>
          <w:szCs w:val="24"/>
          <w:highlight w:val="none"/>
        </w:rPr>
      </w:r>
      <w:r/>
    </w:p>
    <w:p>
      <w:pPr>
        <w:pStyle w:val="887"/>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全面负责公共部位及附属场地全方面综合管理，主要为：安全保障管理、公共环境卫生、小型维修与设施维护、内部管理、节能管理等。</w:t>
      </w:r>
      <w:r>
        <w:rPr>
          <w:rFonts w:hint="eastAsia" w:ascii="宋体" w:hAnsi="宋体" w:eastAsia="宋体" w:cs="宋体"/>
          <w:color w:val="000000"/>
          <w:sz w:val="24"/>
          <w:szCs w:val="24"/>
          <w:highlight w:val="none"/>
          <w:lang w:bidi="ar"/>
        </w:rPr>
      </w:r>
      <w:r/>
    </w:p>
    <w:p>
      <w:pPr>
        <w:pStyle w:val="887"/>
        <w:ind w:firstLine="562"/>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w:t>
      </w:r>
      <w:bookmarkStart w:id="196" w:name="_Hlk233358370"/>
      <w:r>
        <w:rPr>
          <w:rFonts w:hint="eastAsia" w:ascii="宋体" w:hAnsi="宋体" w:eastAsia="宋体" w:cs="宋体"/>
          <w:b/>
          <w:bCs/>
          <w:sz w:val="24"/>
          <w:szCs w:val="24"/>
          <w:highlight w:val="none"/>
        </w:rPr>
        <w:t xml:space="preserve">安全保障管理</w:t>
      </w:r>
      <w:r>
        <w:rPr>
          <w:rFonts w:hint="eastAsia" w:ascii="宋体" w:hAnsi="宋体" w:eastAsia="宋体" w:cs="宋体"/>
          <w:b/>
          <w:bCs/>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bookmarkEnd w:id="196"/>
      <w:r>
        <w:rPr>
          <w:rFonts w:hint="eastAsia" w:ascii="宋体" w:hAnsi="宋体" w:eastAsia="宋体" w:cs="宋体"/>
          <w:sz w:val="24"/>
          <w:szCs w:val="24"/>
          <w:highlight w:val="none"/>
        </w:rPr>
        <w:t xml:space="preserve">1.楼宇实行24小时安全管理制度，严禁脱岗，每天做好值班和交接班记录。</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2.保持信息渠道通畅，项目经理24小时通讯畅通，离开学校一天以上，提前一天告知后勤基建处综合科；楼内突发重大事件必须及时报告后勤基建处相关负责人。</w:t>
      </w:r>
      <w:r>
        <w:rPr>
          <w:rFonts w:hint="eastAsia" w:ascii="宋体" w:hAnsi="宋体" w:eastAsia="宋体" w:cs="宋体"/>
          <w:sz w:val="24"/>
          <w:szCs w:val="24"/>
          <w:highlight w:val="none"/>
        </w:rPr>
      </w:r>
      <w:r/>
    </w:p>
    <w:p>
      <w:pPr>
        <w:pStyle w:val="887"/>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3.按时开、关各楼宇大门，晚清场后检查各办公室、实训室、教室等门、窗是否关好、电源是否切断；必须熟悉本楼分布情况。</w:t>
      </w:r>
      <w:r>
        <w:rPr>
          <w:rFonts w:hint="eastAsia" w:ascii="宋体" w:hAnsi="宋体" w:eastAsia="宋体" w:cs="宋体"/>
          <w:color w:val="000000"/>
          <w:sz w:val="24"/>
          <w:szCs w:val="24"/>
          <w:highlight w:val="none"/>
          <w:lang w:bidi="ar"/>
        </w:rPr>
        <w:t xml:space="preserve">做好体育场馆内体育器材的收发及保管。</w:t>
      </w:r>
      <w:r>
        <w:rPr>
          <w:rFonts w:hint="eastAsia" w:ascii="宋体" w:hAnsi="宋体" w:eastAsia="宋体" w:cs="宋体"/>
          <w:color w:val="000000"/>
          <w:sz w:val="24"/>
          <w:szCs w:val="24"/>
          <w:highlight w:val="none"/>
          <w:lang w:bidi="ar"/>
        </w:rPr>
      </w:r>
      <w:r/>
    </w:p>
    <w:p>
      <w:pPr>
        <w:pStyle w:val="887"/>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4.消防管理，定期进行消防、应急灯、疏散标志、安全设施检查，并做好相关记录</w:t>
      </w:r>
      <w:r>
        <w:rPr>
          <w:rFonts w:hint="eastAsia" w:ascii="宋体" w:hAnsi="宋体" w:eastAsia="宋体" w:cs="宋体"/>
          <w:color w:val="000000"/>
          <w:sz w:val="24"/>
          <w:szCs w:val="24"/>
          <w:highlight w:val="none"/>
          <w:lang w:bidi="ar"/>
        </w:rPr>
        <w:t xml:space="preserve">。确保其处于良好状态，及时纠正违章，消除火险隐患，对于自身不能消除的消防隐患及时书面通知甲方管理部门。</w:t>
      </w:r>
      <w:r>
        <w:rPr>
          <w:rFonts w:hint="eastAsia" w:ascii="宋体" w:hAnsi="宋体" w:eastAsia="宋体" w:cs="宋体"/>
          <w:color w:val="000000"/>
          <w:sz w:val="24"/>
          <w:szCs w:val="24"/>
          <w:highlight w:val="none"/>
          <w:lang w:bidi="ar"/>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7"/>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5.负责楼内的防火安全工作，定期检查消防器材设备，</w:t>
      </w:r>
      <w:r>
        <w:rPr>
          <w:rFonts w:hint="eastAsia" w:ascii="宋体" w:hAnsi="宋体" w:eastAsia="宋体" w:cs="宋体"/>
          <w:color w:val="000000"/>
          <w:sz w:val="24"/>
          <w:szCs w:val="24"/>
          <w:highlight w:val="none"/>
          <w:lang w:bidi="ar"/>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6.楼内无吸烟、酗酒、打架斗殴等不文明现象；严禁易燃、易爆、有毒等危害物品进入大楼；无火灾、无意外、无刑事案件发生，无违章使用电器；无明火及焚烧杂物的现象；无张贴小广告现象。</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楼内秩序井然，楼内、外通道禁止乱停乱放车辆；禁止楼内电瓶车充电；卫生间、通道口等禁止堆放闲杂物品；制定各类突发事件应急预案，定期进行演练，有突发事件按预案及时处理，并迅速上报后勤基建处综合科。</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8.严格执行《扬州工业职业技术学院水电管理办法》，按学院规定进行用电管理。</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9.提醒教师下班切断电源、关好门窗、贵重物品妥善保管。</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10.特种设备（电梯）管理，确保师生乘坐安全，发生安全运行故障时应及时处理并通知相关人员。</w:t>
      </w:r>
      <w:r>
        <w:rPr>
          <w:rFonts w:hint="eastAsia" w:ascii="宋体" w:hAnsi="宋体" w:eastAsia="宋体" w:cs="宋体"/>
          <w:sz w:val="24"/>
          <w:szCs w:val="24"/>
          <w:highlight w:val="none"/>
        </w:rPr>
      </w:r>
      <w:r/>
    </w:p>
    <w:p>
      <w:pPr>
        <w:pStyle w:val="887"/>
        <w:ind w:firstLine="482"/>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w:t>
      </w:r>
      <w:bookmarkStart w:id="197" w:name="_Hlk233358378"/>
      <w:r>
        <w:rPr>
          <w:rFonts w:hint="eastAsia" w:ascii="宋体" w:hAnsi="宋体" w:eastAsia="宋体" w:cs="宋体"/>
          <w:b/>
          <w:bCs/>
          <w:sz w:val="24"/>
          <w:szCs w:val="24"/>
          <w:highlight w:val="none"/>
        </w:rPr>
        <w:t xml:space="preserve">公共环境卫生要求</w:t>
      </w:r>
      <w:bookmarkEnd w:id="197"/>
      <w:r>
        <w:rPr>
          <w:rFonts w:hint="eastAsia" w:ascii="宋体" w:hAnsi="宋体" w:eastAsia="宋体" w:cs="宋体"/>
          <w:b/>
          <w:bCs/>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1.保洁区域：包括楼道、楼梯及扶手、电梯间、卫生间、大厅、门厅、报告厅、部分会议室、教室、门、窗玻璃、日光灯罩、应急灯、电风扇、消防箱、踏步等。</w:t>
      </w:r>
      <w:r>
        <w:rPr>
          <w:rFonts w:hint="eastAsia" w:ascii="宋体" w:hAnsi="宋体" w:eastAsia="宋体" w:cs="宋体"/>
          <w:sz w:val="24"/>
          <w:szCs w:val="24"/>
          <w:highlight w:val="none"/>
        </w:rPr>
      </w:r>
      <w:r/>
    </w:p>
    <w:p>
      <w:pPr>
        <w:pStyle w:val="887"/>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2.保洁要求：门、窗玻璃、吊顶扣板层面、走廊桥架、楼道墙面及顶部、教室内灯具、电风扇、课桌、讲台、墙壁、消防器材、应急灯等部位无污迹、无灰尘、无蜘蛛网、无卫生死角、无划痕、无乱张贴、玻璃明亮；窗台无杂物；卫生间每天循环保洁，做到无异味、无灰尘、纸篓内垃圾不超过2/3，每天及时清理，保持干净；做到地面无积水、无杂物、无垃圾、无痰迹，楼梯、护栏、扶手等保持整洁；垃圾桶无污迹、无积灰。保持楼宇周围环境卫生，地面无烟头、纸屑等杂物；绿化区内做到无杂物、整齐美观。</w:t>
      </w:r>
      <w:r>
        <w:rPr>
          <w:rFonts w:hint="eastAsia" w:ascii="宋体" w:hAnsi="宋体" w:eastAsia="宋体" w:cs="宋体"/>
          <w:color w:val="000000"/>
          <w:sz w:val="24"/>
          <w:szCs w:val="24"/>
          <w:highlight w:val="none"/>
          <w:lang w:bidi="ar"/>
        </w:rPr>
        <w:t xml:space="preserve">楼宇周围绿化区域内各类丢弃物的清理</w:t>
      </w:r>
      <w:bookmarkStart w:id="198" w:name="OLE_LINK2"/>
      <w:r>
        <w:rPr>
          <w:rFonts w:hint="eastAsia" w:ascii="宋体" w:hAnsi="宋体" w:eastAsia="宋体" w:cs="宋体"/>
          <w:color w:val="000000"/>
          <w:sz w:val="24"/>
          <w:szCs w:val="24"/>
          <w:highlight w:val="none"/>
          <w:lang w:bidi="ar"/>
        </w:rPr>
        <w:t xml:space="preserve">。</w:t>
      </w:r>
      <w:bookmarkEnd w:id="198"/>
      <w:r>
        <w:rPr>
          <w:rFonts w:hint="eastAsia" w:ascii="宋体" w:hAnsi="宋体" w:eastAsia="宋体" w:cs="宋体"/>
          <w:color w:val="000000"/>
          <w:sz w:val="24"/>
          <w:szCs w:val="24"/>
          <w:highlight w:val="none"/>
          <w:lang w:bidi="ar"/>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3.楼宇四周定期灭杀蚊子、苍蝇、老鼠、蟑螂等害虫，灭“四害”台帐齐全。</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4.做好传染病的预防和防止传染病扩散的预案。</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5.楼内垃圾做到日产日清并放置指定地点。</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6.</w:t>
      </w:r>
      <w:r>
        <w:rPr>
          <w:rFonts w:hint="eastAsia" w:ascii="宋体" w:hAnsi="宋体" w:eastAsia="宋体" w:cs="宋体"/>
          <w:color w:val="000000"/>
          <w:sz w:val="24"/>
          <w:szCs w:val="24"/>
          <w:highlight w:val="none"/>
          <w:lang w:bidi="ar"/>
        </w:rPr>
        <w:t xml:space="preserve"> 做好楼顶的日常保洁工作，全面清理屋面垃圾，保证楼顶落水口以及雨水管道畅通（每年5月、6月、7月、8月每月清理2次，其他月份1个月清理1次）。</w:t>
      </w:r>
      <w:r>
        <w:rPr>
          <w:rFonts w:hint="eastAsia" w:ascii="宋体" w:hAnsi="宋体" w:eastAsia="宋体" w:cs="宋体"/>
          <w:color w:val="000000"/>
          <w:sz w:val="24"/>
          <w:szCs w:val="24"/>
          <w:highlight w:val="none"/>
          <w:lang w:bidi="ar"/>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7.楼内值班室干净、整洁，制度上墙，无乱悬挂、无乱张贴；门厅值班处干净、整洁、台账摆放规范。</w:t>
      </w:r>
      <w:r>
        <w:rPr>
          <w:rFonts w:hint="eastAsia" w:ascii="宋体" w:hAnsi="宋体" w:eastAsia="宋体" w:cs="宋体"/>
          <w:sz w:val="24"/>
          <w:szCs w:val="24"/>
          <w:highlight w:val="none"/>
        </w:rPr>
      </w:r>
      <w:r/>
    </w:p>
    <w:p>
      <w:pPr>
        <w:pStyle w:val="887"/>
        <w:ind w:firstLine="562"/>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w:t>
      </w:r>
      <w:bookmarkStart w:id="199" w:name="_Hlk233358472"/>
      <w:r>
        <w:rPr>
          <w:rFonts w:hint="eastAsia" w:ascii="宋体" w:hAnsi="宋体" w:eastAsia="宋体" w:cs="宋体"/>
          <w:b/>
          <w:bCs/>
          <w:sz w:val="24"/>
          <w:szCs w:val="24"/>
          <w:highlight w:val="none"/>
        </w:rPr>
        <w:t xml:space="preserve">小型维修与设施维护</w:t>
      </w:r>
      <w:bookmarkEnd w:id="199"/>
      <w:r>
        <w:rPr>
          <w:rFonts w:hint="eastAsia" w:ascii="宋体" w:hAnsi="宋体" w:eastAsia="宋体" w:cs="宋体"/>
          <w:b/>
          <w:bCs/>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1.建立严格的维修管理制度，配备专业维修人员持证上岗，建立维修档案。</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2.维修及时到位，做到“零星维修及时处理，小修当日完成”，影响正常教学的报修必须立即赶到现场进行抢修。</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3.公共部位、部分会议室、报告厅、接待室、教室、办公室、机房、语音室、消防设备设施等单项维修低于200元（含200元）的维修，物业公司负责；单项维修超出200元的以书面形式立即报后勤综合科审核。</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4.楼内设备、设施定期维护、保养，更换维修材料确保质量合格；保障楼内的公共财物齐全、无人为损坏；公共部位的照明、安全指示灯和应急灯定期巡查保证完好无缺。 </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5.制订完善的维修制度和维修计划，定期对教学设备、水电设施和消防器材进行检查、维护保养并做好记录。</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6.教室和多媒体设备必须重点维护，保障楼内教学、科研工作正常运行，遇大型活动、考试，要求水、电到位、设备设施（包括地砖）完好，提前做好相应的检修工作。</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7.确保楼内卫生间洁具、设施完好，不得出现跑、冒、滴、漏等现象，一旦发现将根据情况扣分。</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8.对所管辖本楼内的学校固定资产做好管理、维护工作，保障各项资产的完好、安全和正常运转；不得私自动用学校任何物品。</w:t>
      </w:r>
      <w:r>
        <w:rPr>
          <w:rFonts w:hint="eastAsia" w:ascii="宋体" w:hAnsi="宋体" w:eastAsia="宋体" w:cs="宋体"/>
          <w:sz w:val="24"/>
          <w:szCs w:val="24"/>
          <w:highlight w:val="none"/>
        </w:rPr>
      </w:r>
      <w:r/>
    </w:p>
    <w:p>
      <w:pPr>
        <w:pStyle w:val="887"/>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9.配电柜和电器管理：电工必须持证上岗，按照国家有关供电法规、以及电器的正确使用办法进行管理，规范操作，安全检查每周不少于1次，并做好记录。</w:t>
      </w:r>
      <w:r>
        <w:rPr>
          <w:rFonts w:hint="eastAsia" w:ascii="宋体" w:hAnsi="宋体" w:eastAsia="宋体" w:cs="宋体"/>
          <w:color w:val="000000"/>
          <w:sz w:val="24"/>
          <w:szCs w:val="24"/>
          <w:highlight w:val="none"/>
          <w:lang w:bidi="ar"/>
        </w:rPr>
      </w:r>
      <w:r/>
    </w:p>
    <w:p>
      <w:pPr>
        <w:pStyle w:val="887"/>
        <w:ind w:firstLine="482"/>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（四）内部管理</w:t>
      </w:r>
      <w:r>
        <w:rPr>
          <w:rFonts w:hint="eastAsia" w:ascii="宋体" w:hAnsi="宋体" w:eastAsia="宋体" w:cs="宋体"/>
          <w:b/>
          <w:bCs/>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1.加强员工精神面貌建设，按照招标规定的人数配备齐全，不缺勤、不脱岗，工作人员挂牌上岗，持证上岗，服装统一、整齐、纪律严明, 主动接受师生的监督。及时传达学校相关文件精神，把工作落到实处。</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2.工作台账填写字体工整、认真规范，值班地点环境优美、整洁，各项规章制度齐全，岗位责任制度上墙。</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3.按照学校统一规定，建立健全各种管理档案及工作台账，如：楼宇管理员交接班记录、突发事件记录、维修记录等，随时供学校相关管理部门调阅。</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4.定期开展多项特色服务及专业技能培训（服务接待、维修技能、保洁技能、礼貌用语等）。</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5.</w:t>
      </w:r>
      <w:r>
        <w:rPr>
          <w:rFonts w:hint="eastAsia" w:ascii="宋体" w:hAnsi="宋体" w:eastAsia="宋体" w:cs="宋体"/>
          <w:color w:val="000000"/>
          <w:sz w:val="24"/>
          <w:szCs w:val="24"/>
          <w:highlight w:val="none"/>
          <w:lang w:bidi="ar"/>
        </w:rPr>
        <w:t xml:space="preserve"> 加强物业管理范围内的噪声污染管理，及时制止环境噪声污染的行为，确保正常的教学、科研、办公和学习不受干扰。</w:t>
      </w:r>
      <w:r>
        <w:rPr>
          <w:rFonts w:hint="eastAsia" w:ascii="宋体" w:hAnsi="宋体" w:eastAsia="宋体" w:cs="宋体"/>
          <w:color w:val="000000"/>
          <w:sz w:val="24"/>
          <w:szCs w:val="24"/>
          <w:highlight w:val="none"/>
          <w:lang w:bidi="ar"/>
        </w:rPr>
      </w:r>
      <w:r/>
    </w:p>
    <w:p>
      <w:pPr>
        <w:pStyle w:val="887"/>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加强物业管理区域内有关物业管理服务的档案、资料的管理。档案和资料的管理包括：采购人档案、设备设施档案、安全管理记录档案、清洁卫生管理档案、人员培训档案等资料档案，所有资料档案做到保存完整，管理完善，交接手续完备，检索方便准确，符合有关标准。</w:t>
      </w:r>
      <w:r>
        <w:rPr>
          <w:rFonts w:hint="eastAsia" w:ascii="宋体" w:hAnsi="宋体" w:eastAsia="宋体" w:cs="宋体"/>
          <w:color w:val="000000"/>
          <w:sz w:val="24"/>
          <w:szCs w:val="24"/>
          <w:highlight w:val="none"/>
          <w:lang w:bidi="ar"/>
        </w:rPr>
      </w:r>
      <w:r/>
    </w:p>
    <w:p>
      <w:pPr>
        <w:pStyle w:val="887"/>
        <w:ind w:firstLine="562"/>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（五）节能管理</w:t>
      </w:r>
      <w:r>
        <w:rPr>
          <w:rFonts w:hint="eastAsia" w:ascii="宋体" w:hAnsi="宋体" w:eastAsia="宋体" w:cs="宋体"/>
          <w:b/>
          <w:bCs/>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1.楼内有规范醒目的节能告示牌、警示牌等。</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2.加强对楼内供水设施管理，杜绝“跑、冒、滴、漏等”现象发生。</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3.加强对楼内用电设施管理，杜绝“白昼灯、长明灯”现象发生。</w:t>
      </w:r>
      <w:r>
        <w:rPr>
          <w:rFonts w:hint="eastAsia" w:ascii="宋体" w:hAnsi="宋体" w:eastAsia="宋体" w:cs="宋体"/>
          <w:sz w:val="24"/>
          <w:szCs w:val="24"/>
          <w:highlight w:val="none"/>
        </w:rPr>
      </w:r>
      <w:r/>
    </w:p>
    <w:p>
      <w:pPr>
        <w:pStyle w:val="887"/>
        <w:ind w:firstLine="562"/>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（六）其它管理要求</w:t>
      </w:r>
      <w:r>
        <w:rPr>
          <w:rFonts w:hint="eastAsia" w:ascii="宋体" w:hAnsi="宋体" w:eastAsia="宋体" w:cs="宋体"/>
          <w:b/>
          <w:bCs/>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项目经理：全面负责学校物业服务工作的管理，具有本科及以上学历；具有职业等级高级及以上物业管理师证书；具有中级职称；具有高校物业管理经验，善待员工，善于管理、善于沟通，做好与师生的沟通和协调工作；楼宇管理人员（巡值人员）：具有初中及以上学历。身体健康，五官端正、热爱和关心学生；综合维修工：具有初中及以上学历，具有低压电工上岗证，须具备焊接和热切割作业证，工作责任心强、有专业知识，身体健康，非工作时间遇突发急修必须第一时间到岗处理。保洁员：具有初中及以上学历，身体健康，循环保洁。</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人员配备齐全。按照《劳动合同法》聘用管理人员，与其签订劳动用工合同；人员聘用、调配手续完备，档案齐全；按《劳动合同法》规定发放人员工资，缴纳社会保险；用工名单及其基本情况报后勤基建处综合科备案；保证一年三节及其它相关福利待遇的发放；严禁出现员工消极怠工现象。</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3.物业公司内部各项规章制度、岗位责任制度齐全并挂在醒目的地方；建立健全各种管理档案，如“员工档案”、“考核制度”等。</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4.工作有年度计划、月度计划、员工培训计划等；要求每学期至少培训一次；各岗位工作人员熟知本岗位工作职责，熟悉楼宇管理规定，清楚本栋楼内部分布情况。</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5.工作人员身体健康，具有爱心、责任心，服务态度好，待人接物热情周到；</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6.积极配合做好学校相关管理部门分配的其他工作，工作具有执行力，服从分配管理。</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7.项目经理必须保证工作时间不得离岗，确需离校需报后勤基建处综合科，经后勤基建处同意方可离岗。</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因学校特殊需要，法定节假日保证楼宇管理员、保洁员不得低于50%。如遇学校特殊活动或其它事项，需服务学校的统一安排。因工作原因产生的加班（含节假日加班）应严格按国家有关法律、法规要求的标准由中标人给付员工加班薪资。</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9.各岗位工作时间要求：项目经理：上午7:50至11:50；下午：13:30至17:30；楼宇管理岗：24小时安全管理；综合维修工：8小时在岗；保洁员岗位：循环保洁。</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10.在各楼值班处提供便民服务，如配备打气筒、针线包、雨伞、小型维修工具箱等，为师生提供相应的服务。</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11.负责楼内开水器专人清理、消毒和记录；负责楼内绿植租摆的监管；因工作需要，在其工作性质范围内完成学校布置的其它工作任务，无推诿现象；对学校布置的工作任务完成情况及时反馈。</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12.不得在楼内及相关区域从事商业经营活动和其它以服务学生为主的有偿服务活动。</w:t>
      </w:r>
      <w:r>
        <w:rPr>
          <w:rFonts w:hint="eastAsia" w:ascii="宋体" w:hAnsi="宋体" w:eastAsia="宋体" w:cs="宋体"/>
          <w:sz w:val="24"/>
          <w:szCs w:val="24"/>
          <w:highlight w:val="none"/>
        </w:rPr>
      </w:r>
      <w:r/>
    </w:p>
    <w:p>
      <w:pPr>
        <w:pStyle w:val="887"/>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四、楼宇物业管理考核及费用支付</w:t>
      </w:r>
      <w:r>
        <w:rPr>
          <w:rFonts w:hint="eastAsia" w:ascii="宋体" w:hAnsi="宋体" w:eastAsia="宋体" w:cs="宋体"/>
          <w:b/>
          <w:sz w:val="24"/>
          <w:szCs w:val="24"/>
          <w:highlight w:val="none"/>
        </w:rPr>
      </w:r>
      <w:r/>
    </w:p>
    <w:p>
      <w:pPr>
        <w:pStyle w:val="887"/>
        <w:ind w:firstLine="480"/>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楼宇物业服务量化考核的目的是为支付楼宇物业管理服务费用、同时为楼宇物业管理服务合同到期后对该服务项目进行验收提供依据。秉持公平、公正、公开的原则，对楼宇物业管理服务实行量化监督管理考核。</w:t>
      </w:r>
      <w:r>
        <w:rPr>
          <w:rFonts w:hint="eastAsia" w:ascii="宋体" w:hAnsi="宋体" w:eastAsia="宋体" w:cs="宋体"/>
          <w:color w:val="000000"/>
          <w:sz w:val="24"/>
          <w:szCs w:val="24"/>
          <w:highlight w:val="none"/>
          <w:lang w:bidi="ar"/>
        </w:rPr>
      </w:r>
      <w:r/>
    </w:p>
    <w:p>
      <w:pPr>
        <w:pStyle w:val="887"/>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（一）考核周期与分值构成</w:t>
      </w:r>
      <w:r>
        <w:rPr>
          <w:rFonts w:hint="eastAsia" w:ascii="宋体" w:hAnsi="宋体" w:eastAsia="宋体" w:cs="宋体"/>
          <w:b/>
          <w:bCs/>
          <w:sz w:val="24"/>
          <w:szCs w:val="24"/>
          <w:highlight w:val="none"/>
        </w:rPr>
      </w:r>
      <w:r/>
    </w:p>
    <w:p>
      <w:pPr>
        <w:pStyle w:val="887"/>
        <w:ind w:firstLine="480"/>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按照考核周期（每三个月为一考核周期）进行物业管理服务考核。</w:t>
      </w:r>
      <w:r>
        <w:rPr>
          <w:rFonts w:hint="eastAsia" w:ascii="宋体" w:hAnsi="宋体" w:eastAsia="宋体" w:cs="宋体"/>
          <w:color w:val="000000"/>
          <w:sz w:val="24"/>
          <w:szCs w:val="24"/>
          <w:highlight w:val="none"/>
          <w:lang w:bidi="ar"/>
        </w:rPr>
      </w:r>
      <w:r/>
    </w:p>
    <w:p>
      <w:pPr>
        <w:pStyle w:val="887"/>
        <w:ind w:firstLine="480"/>
        <w:jc w:val="left"/>
        <w:spacing w:line="5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考核总分100分，85～90分为合格，90～95分为优，95分以上为特优。</w:t>
      </w:r>
      <w:r>
        <w:rPr>
          <w:rFonts w:hint="eastAsia" w:ascii="宋体" w:hAnsi="宋体" w:eastAsia="宋体" w:cs="宋体"/>
          <w:color w:val="000000"/>
          <w:sz w:val="24"/>
          <w:szCs w:val="24"/>
          <w:highlight w:val="none"/>
          <w:lang w:bidi="ar"/>
        </w:rPr>
      </w:r>
      <w:r/>
    </w:p>
    <w:p>
      <w:pPr>
        <w:pStyle w:val="887"/>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（二）考核内容与扣分标准</w:t>
      </w:r>
      <w:r>
        <w:rPr>
          <w:rFonts w:hint="eastAsia" w:ascii="宋体" w:hAnsi="宋体" w:eastAsia="宋体" w:cs="宋体"/>
          <w:b/>
          <w:bCs/>
          <w:sz w:val="24"/>
          <w:szCs w:val="24"/>
          <w:highlight w:val="none"/>
        </w:rPr>
      </w:r>
      <w:r/>
    </w:p>
    <w:p>
      <w:pPr>
        <w:pStyle w:val="887"/>
        <w:jc w:val="center"/>
        <w:spacing w:line="50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扬州工业职业技术学院楼宇物业管理管理考核表</w:t>
      </w:r>
      <w:r>
        <w:rPr>
          <w:rFonts w:hint="eastAsia" w:ascii="宋体" w:hAnsi="宋体" w:eastAsia="宋体" w:cs="宋体"/>
          <w:b/>
          <w:sz w:val="24"/>
          <w:szCs w:val="24"/>
          <w:highlight w:val="none"/>
        </w:rPr>
      </w:r>
      <w:r/>
    </w:p>
    <w:tbl>
      <w:tblPr>
        <w:tblW w:w="0" w:type="auto"/>
        <w:tblInd w:w="-759" w:type="dxa"/>
        <w:tblLayout w:type="fixed"/>
        <w:tblCellMar>
          <w:left w:w="108" w:type="dxa"/>
          <w:top w:w="0" w:type="dxa"/>
          <w:right w:w="108" w:type="dxa"/>
          <w:bottom w:w="0" w:type="dxa"/>
        </w:tblCellMar>
        <w:tblLook w:val="04A0" w:firstRow="1" w:lastRow="0" w:firstColumn="1" w:lastColumn="0" w:noHBand="0" w:noVBand="1"/>
      </w:tblPr>
      <w:tblGrid>
        <w:gridCol w:w="1468"/>
        <w:gridCol w:w="5103"/>
        <w:gridCol w:w="2268"/>
        <w:gridCol w:w="709"/>
        <w:gridCol w:w="1276"/>
        <w:gridCol w:w="236"/>
      </w:tblGrid>
      <w:tr>
        <w:trPr>
          <w:gridAfter w:val="1"/>
          <w:trHeight w:val="642"/>
        </w:trPr>
        <w:tc>
          <w:tcPr>
            <w:tcBorders>
              <w:top w:val="single" w:color="000000" w:sz="8" w:space="0"/>
              <w:left w:val="single" w:color="000000" w:sz="8" w:space="0"/>
              <w:bottom w:val="single" w:color="000000" w:sz="8" w:space="0"/>
              <w:right w:val="single" w:color="000000" w:sz="8" w:space="0"/>
            </w:tcBorders>
            <w:tcW w:w="1468" w:type="dxa"/>
            <w:vAlign w:val="center"/>
            <w:textDirection w:val="lrTb"/>
            <w:noWrap w:val="false"/>
          </w:tcPr>
          <w:p>
            <w:pPr>
              <w:pStyle w:val="887"/>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项目</w:t>
            </w:r>
            <w:r>
              <w:rPr>
                <w:rFonts w:hint="eastAsia" w:ascii="宋体" w:hAnsi="宋体" w:eastAsia="宋体" w:cs="宋体"/>
                <w:b/>
                <w:bCs/>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5103" w:type="dxa"/>
            <w:vAlign w:val="center"/>
            <w:textDirection w:val="lrTb"/>
            <w:noWrap w:val="false"/>
          </w:tcPr>
          <w:p>
            <w:pPr>
              <w:pStyle w:val="887"/>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考核细则及工作要求</w:t>
            </w:r>
            <w:r>
              <w:rPr>
                <w:rFonts w:hint="eastAsia" w:ascii="宋体" w:hAnsi="宋体" w:eastAsia="宋体" w:cs="宋体"/>
                <w:b/>
                <w:bCs/>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2268" w:type="dxa"/>
            <w:vAlign w:val="center"/>
            <w:textDirection w:val="lrTb"/>
            <w:noWrap w:val="false"/>
          </w:tcPr>
          <w:p>
            <w:pPr>
              <w:pStyle w:val="887"/>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扣分标准</w:t>
            </w:r>
            <w:r>
              <w:rPr>
                <w:rFonts w:hint="eastAsia" w:ascii="宋体" w:hAnsi="宋体" w:eastAsia="宋体" w:cs="宋体"/>
                <w:b/>
                <w:bCs/>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pStyle w:val="887"/>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扣分</w:t>
            </w:r>
            <w:r>
              <w:rPr>
                <w:rFonts w:hint="eastAsia" w:ascii="宋体" w:hAnsi="宋体" w:eastAsia="宋体" w:cs="宋体"/>
                <w:b/>
                <w:bCs/>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1276" w:type="dxa"/>
            <w:vAlign w:val="center"/>
            <w:textDirection w:val="lrTb"/>
            <w:noWrap w:val="false"/>
          </w:tcPr>
          <w:p>
            <w:pPr>
              <w:pStyle w:val="887"/>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扣分说明</w:t>
            </w:r>
            <w:r>
              <w:rPr>
                <w:rFonts w:hint="eastAsia" w:ascii="宋体" w:hAnsi="宋体" w:eastAsia="宋体" w:cs="宋体"/>
                <w:b/>
                <w:bCs/>
                <w:color w:val="000000"/>
                <w:sz w:val="24"/>
                <w:szCs w:val="24"/>
                <w:highlight w:val="none"/>
              </w:rPr>
            </w:r>
            <w:r/>
          </w:p>
        </w:tc>
      </w:tr>
      <w:tr>
        <w:trPr>
          <w:gridAfter w:val="1"/>
          <w:trHeight w:val="930"/>
        </w:trPr>
        <w:tc>
          <w:tcPr>
            <w:tcBorders>
              <w:top w:val="single" w:color="000000" w:sz="4" w:space="0"/>
              <w:left w:val="single" w:color="000000" w:sz="4" w:space="0"/>
              <w:bottom w:val="single" w:color="000000" w:sz="4" w:space="0"/>
              <w:right w:val="single" w:color="000000" w:sz="4" w:space="0"/>
            </w:tcBorders>
            <w:tcW w:w="1468" w:type="dxa"/>
            <w:vAlign w:val="center"/>
            <w:vMerge w:val="restart"/>
            <w:textDirection w:val="lrTb"/>
            <w:noWrap w:val="false"/>
          </w:tcPr>
          <w:p>
            <w:pPr>
              <w:pStyle w:val="88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人员管理</w:t>
            </w:r>
            <w:r>
              <w:rPr>
                <w:rFonts w:hint="eastAsia" w:ascii="宋体" w:hAnsi="宋体" w:eastAsia="宋体" w:cs="宋体"/>
                <w:color w:val="000000"/>
                <w:sz w:val="21"/>
                <w:szCs w:val="21"/>
                <w:highlight w:val="none"/>
              </w:rPr>
            </w:r>
            <w:r/>
          </w:p>
          <w:p>
            <w:pPr>
              <w:pStyle w:val="88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5103" w:type="dxa"/>
            <w:vAlign w:val="top"/>
            <w:textDirection w:val="lrTb"/>
            <w:noWrap w:val="false"/>
          </w:tcPr>
          <w:p>
            <w:pPr>
              <w:pStyle w:val="887"/>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1.人员配备：按要求配备人员。所有人员必须在工作时间在岗。上岗人员着装统一，佩戴证件。(依据中标单位投标书人员配置约定人数)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2268" w:type="dxa"/>
            <w:vAlign w:val="top"/>
            <w:textDirection w:val="lrTb"/>
            <w:noWrap w:val="false"/>
          </w:tcPr>
          <w:p>
            <w:pPr>
              <w:pStyle w:val="887"/>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人员配备不足，每少扣1分，最多扣5分。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709" w:type="dxa"/>
            <w:vAlign w:val="top"/>
            <w:textDirection w:val="lrTb"/>
            <w:noWrap w:val="false"/>
          </w:tcPr>
          <w:p>
            <w:pPr>
              <w:pStyle w:val="887"/>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76" w:type="dxa"/>
            <w:vAlign w:val="top"/>
            <w:textDirection w:val="lrTb"/>
            <w:noWrap w:val="false"/>
          </w:tcPr>
          <w:p>
            <w:pPr>
              <w:pStyle w:val="887"/>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Height w:val="643"/>
        </w:trPr>
        <w:tc>
          <w:tcPr>
            <w:tcBorders>
              <w:top w:val="single" w:color="000000" w:sz="4" w:space="0"/>
              <w:left w:val="single" w:color="000000" w:sz="4" w:space="0"/>
              <w:bottom w:val="single" w:color="000000" w:sz="4" w:space="0"/>
              <w:right w:val="single" w:color="000000" w:sz="4" w:space="0"/>
            </w:tcBorders>
            <w:tcW w:w="1468" w:type="dxa"/>
            <w:vAlign w:val="center"/>
            <w:vMerge w:val="continue"/>
            <w:textDirection w:val="lrTb"/>
            <w:noWrap w:val="false"/>
          </w:tcPr>
          <w:p>
            <w:pPr>
              <w:pStyle w:val="887"/>
              <w:jc w:val="righ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5103" w:type="dxa"/>
            <w:vAlign w:val="top"/>
            <w:textDirection w:val="lrTb"/>
            <w:noWrap w:val="false"/>
          </w:tcPr>
          <w:p>
            <w:pPr>
              <w:pStyle w:val="887"/>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2.有健全的管理制度（上墙）并落实到位，管理台帐齐全。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2268" w:type="dxa"/>
            <w:vAlign w:val="top"/>
            <w:textDirection w:val="lrTb"/>
            <w:noWrap w:val="false"/>
          </w:tcPr>
          <w:p>
            <w:pPr>
              <w:pStyle w:val="887"/>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人员配备不足，每少扣1分，最多扣5分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709" w:type="dxa"/>
            <w:vAlign w:val="top"/>
            <w:textDirection w:val="lrTb"/>
            <w:noWrap w:val="false"/>
          </w:tcPr>
          <w:p>
            <w:pPr>
              <w:pStyle w:val="887"/>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76" w:type="dxa"/>
            <w:vAlign w:val="top"/>
            <w:textDirection w:val="lrTb"/>
            <w:noWrap w:val="false"/>
          </w:tcPr>
          <w:p>
            <w:pPr>
              <w:pStyle w:val="887"/>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Height w:val="976" w:hRule="exact"/>
        </w:trPr>
        <w:tc>
          <w:tcPr>
            <w:tcBorders>
              <w:top w:val="none" w:color="000000" w:sz="4" w:space="0"/>
              <w:left w:val="single" w:color="000000" w:sz="4" w:space="0"/>
              <w:bottom w:val="none" w:color="000000" w:sz="0" w:space="0"/>
              <w:right w:val="single" w:color="000000" w:sz="4" w:space="0"/>
            </w:tcBorders>
            <w:tcW w:w="1468" w:type="dxa"/>
            <w:vAlign w:val="center"/>
            <w:vMerge w:val="restart"/>
            <w:textDirection w:val="lrTb"/>
            <w:noWrap w:val="false"/>
          </w:tcPr>
          <w:p>
            <w:pPr>
              <w:pStyle w:val="88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清洁卫生</w:t>
            </w:r>
            <w:r>
              <w:rPr>
                <w:rFonts w:hint="eastAsia" w:ascii="宋体" w:hAnsi="宋体" w:eastAsia="宋体" w:cs="宋体"/>
                <w:color w:val="000000"/>
                <w:sz w:val="21"/>
                <w:szCs w:val="21"/>
                <w:highlight w:val="none"/>
              </w:rPr>
            </w:r>
            <w:r/>
          </w:p>
          <w:p>
            <w:pPr>
              <w:pStyle w:val="88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5103" w:type="dxa"/>
            <w:vAlign w:val="center"/>
            <w:textDirection w:val="lrTb"/>
            <w:noWrap w:val="false"/>
          </w:tcPr>
          <w:p>
            <w:pPr>
              <w:pStyle w:val="887"/>
              <w:jc w:val="left"/>
              <w:keepLines w:val="0"/>
              <w:keepNext w:val="0"/>
              <w:pageBreakBefore w:val="0"/>
              <w:spacing w:line="2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1.公共部位墙面无脚印、球印等污迹，顶面及灯具、电扇无积灰、无蛛网，无乱张贴。</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2268" w:type="dxa"/>
            <w:vAlign w:val="center"/>
            <w:textDirection w:val="lrTb"/>
            <w:noWrap w:val="false"/>
          </w:tcPr>
          <w:p>
            <w:pPr>
              <w:pStyle w:val="887"/>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有一项不符合扣1分，最多扣5分。</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709" w:type="dxa"/>
            <w:vAlign w:val="top"/>
            <w:textDirection w:val="lrTb"/>
            <w:noWrap w:val="false"/>
          </w:tcPr>
          <w:p>
            <w:pPr>
              <w:pStyle w:val="887"/>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1276" w:type="dxa"/>
            <w:vAlign w:val="top"/>
            <w:textDirection w:val="lrTb"/>
            <w:noWrap w:val="false"/>
          </w:tcPr>
          <w:p>
            <w:pPr>
              <w:pStyle w:val="887"/>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Height w:val="690"/>
        </w:trPr>
        <w:tc>
          <w:tcPr>
            <w:tcBorders>
              <w:top w:val="none" w:color="000000" w:sz="0" w:space="0"/>
              <w:left w:val="single" w:color="000000" w:sz="4" w:space="0"/>
              <w:bottom w:val="none" w:color="000000" w:sz="0" w:space="0"/>
              <w:right w:val="single" w:color="000000" w:sz="4" w:space="0"/>
            </w:tcBorders>
            <w:tcW w:w="1468" w:type="dxa"/>
            <w:vAlign w:val="center"/>
            <w:vMerge w:val="continue"/>
            <w:textDirection w:val="lrTb"/>
            <w:noWrap w:val="false"/>
          </w:tcPr>
          <w:p>
            <w:pPr>
              <w:pStyle w:val="887"/>
              <w:jc w:val="righ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5103" w:type="dxa"/>
            <w:vAlign w:val="center"/>
            <w:textDirection w:val="lrTb"/>
            <w:noWrap w:val="false"/>
          </w:tcPr>
          <w:p>
            <w:pPr>
              <w:pStyle w:val="887"/>
              <w:jc w:val="left"/>
              <w:keepLines w:val="0"/>
              <w:keepNext w:val="0"/>
              <w:pageBreakBefore w:val="0"/>
              <w:spacing w:line="2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2.栏杆、楼梯扶手、公共区域陈设无积灰、无污迹。教室地面、门、窗干净、明亮。</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2268" w:type="dxa"/>
            <w:vAlign w:val="top"/>
            <w:textDirection w:val="lrTb"/>
            <w:noWrap w:val="false"/>
          </w:tcPr>
          <w:p>
            <w:pPr>
              <w:pStyle w:val="887"/>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有一项不符合扣1分，最多扣5分。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709" w:type="dxa"/>
            <w:vAlign w:val="top"/>
            <w:textDirection w:val="lrTb"/>
            <w:noWrap w:val="false"/>
          </w:tcPr>
          <w:p>
            <w:pPr>
              <w:pStyle w:val="887"/>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76" w:type="dxa"/>
            <w:vAlign w:val="top"/>
            <w:textDirection w:val="lrTb"/>
            <w:noWrap w:val="false"/>
          </w:tcPr>
          <w:p>
            <w:pPr>
              <w:pStyle w:val="887"/>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Height w:val="716" w:hRule="exact"/>
        </w:trPr>
        <w:tc>
          <w:tcPr>
            <w:tcBorders>
              <w:top w:val="none" w:color="000000" w:sz="0" w:space="0"/>
              <w:left w:val="single" w:color="000000" w:sz="4" w:space="0"/>
              <w:bottom w:val="none" w:color="000000" w:sz="0" w:space="0"/>
              <w:right w:val="single" w:color="000000" w:sz="4" w:space="0"/>
            </w:tcBorders>
            <w:tcW w:w="1468" w:type="dxa"/>
            <w:vAlign w:val="center"/>
            <w:vMerge w:val="continue"/>
            <w:textDirection w:val="lrTb"/>
            <w:noWrap w:val="false"/>
          </w:tcPr>
          <w:p>
            <w:pPr>
              <w:pStyle w:val="887"/>
              <w:jc w:val="righ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5103" w:type="dxa"/>
            <w:vAlign w:val="center"/>
            <w:textDirection w:val="lrTb"/>
            <w:noWrap w:val="false"/>
          </w:tcPr>
          <w:p>
            <w:pPr>
              <w:pStyle w:val="887"/>
              <w:jc w:val="left"/>
              <w:keepLines w:val="0"/>
              <w:keepNext w:val="0"/>
              <w:pageBreakBefore w:val="0"/>
              <w:spacing w:line="2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3.厕所无异臭、无积垢、无虫害。</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2268" w:type="dxa"/>
            <w:vAlign w:val="top"/>
            <w:textDirection w:val="lrTb"/>
            <w:noWrap w:val="false"/>
          </w:tcPr>
          <w:p>
            <w:pPr>
              <w:pStyle w:val="887"/>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有一项不符合扣1分，最多扣5分。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709" w:type="dxa"/>
            <w:vAlign w:val="top"/>
            <w:textDirection w:val="lrTb"/>
            <w:noWrap w:val="false"/>
          </w:tcPr>
          <w:p>
            <w:pPr>
              <w:pStyle w:val="887"/>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76" w:type="dxa"/>
            <w:vAlign w:val="top"/>
            <w:textDirection w:val="lrTb"/>
            <w:noWrap w:val="false"/>
          </w:tcPr>
          <w:p>
            <w:pPr>
              <w:pStyle w:val="887"/>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Height w:val="852" w:hRule="exact"/>
        </w:trPr>
        <w:tc>
          <w:tcPr>
            <w:tcBorders>
              <w:top w:val="none" w:color="000000" w:sz="0" w:space="0"/>
              <w:left w:val="single" w:color="000000" w:sz="4" w:space="0"/>
              <w:bottom w:val="single" w:color="000000" w:sz="4" w:space="0"/>
              <w:right w:val="single" w:color="000000" w:sz="4" w:space="0"/>
            </w:tcBorders>
            <w:tcW w:w="1468" w:type="dxa"/>
            <w:vAlign w:val="center"/>
            <w:vMerge w:val="continue"/>
            <w:textDirection w:val="lrTb"/>
            <w:noWrap w:val="false"/>
          </w:tcPr>
          <w:p>
            <w:pPr>
              <w:pStyle w:val="887"/>
              <w:jc w:val="righ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4" w:space="0"/>
              <w:right w:val="single" w:color="000000" w:sz="8" w:space="0"/>
            </w:tcBorders>
            <w:tcW w:w="5103" w:type="dxa"/>
            <w:vAlign w:val="center"/>
            <w:textDirection w:val="lrTb"/>
            <w:noWrap w:val="false"/>
          </w:tcPr>
          <w:p>
            <w:pPr>
              <w:pStyle w:val="887"/>
              <w:jc w:val="left"/>
              <w:keepLines w:val="0"/>
              <w:keepNext w:val="0"/>
              <w:pageBreakBefore w:val="0"/>
              <w:spacing w:line="2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4.楼内垃圾桶外体整洁，垃圾实行袋装化管理，并及时清理。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2268" w:type="dxa"/>
            <w:vAlign w:val="top"/>
            <w:textDirection w:val="lrTb"/>
            <w:noWrap w:val="false"/>
          </w:tcPr>
          <w:p>
            <w:pPr>
              <w:pStyle w:val="887"/>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有一项不符合扣1分，最多扣5分。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709" w:type="dxa"/>
            <w:vAlign w:val="top"/>
            <w:textDirection w:val="lrTb"/>
            <w:noWrap w:val="false"/>
          </w:tcPr>
          <w:p>
            <w:pPr>
              <w:pStyle w:val="887"/>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76" w:type="dxa"/>
            <w:vAlign w:val="top"/>
            <w:textDirection w:val="lrTb"/>
            <w:noWrap w:val="false"/>
          </w:tcPr>
          <w:p>
            <w:pPr>
              <w:pStyle w:val="887"/>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Height w:val="852" w:hRule="exact"/>
        </w:trPr>
        <w:tc>
          <w:tcPr>
            <w:tcBorders>
              <w:top w:val="single" w:color="000000" w:sz="4" w:space="0"/>
              <w:left w:val="single" w:color="000000" w:sz="4" w:space="0"/>
              <w:bottom w:val="none" w:color="000000" w:sz="0" w:space="0"/>
              <w:right w:val="single" w:color="000000" w:sz="4" w:space="0"/>
            </w:tcBorders>
            <w:tcW w:w="1468" w:type="dxa"/>
            <w:vAlign w:val="center"/>
            <w:vMerge w:val="restart"/>
            <w:textDirection w:val="lrTb"/>
            <w:noWrap w:val="false"/>
          </w:tcPr>
          <w:p>
            <w:pPr>
              <w:pStyle w:val="887"/>
              <w:ind w:right="220"/>
              <w:jc w:val="righ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维修管理</w:t>
            </w:r>
            <w:r>
              <w:rPr>
                <w:rFonts w:hint="eastAsia" w:ascii="宋体" w:hAnsi="宋体" w:eastAsia="宋体" w:cs="宋体"/>
                <w:color w:val="000000"/>
                <w:sz w:val="21"/>
                <w:szCs w:val="21"/>
                <w:highlight w:val="none"/>
              </w:rPr>
            </w:r>
            <w:r/>
          </w:p>
          <w:p>
            <w:pPr>
              <w:pStyle w:val="887"/>
              <w:ind w:right="220"/>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5103" w:type="dxa"/>
            <w:vAlign w:val="center"/>
            <w:vMerge w:val="restart"/>
            <w:textDirection w:val="lrTb"/>
            <w:noWrap w:val="false"/>
          </w:tcPr>
          <w:p>
            <w:pPr>
              <w:pStyle w:val="887"/>
              <w:jc w:val="left"/>
              <w:keepLines w:val="0"/>
              <w:keepNext w:val="0"/>
              <w:pageBreakBefore w:val="0"/>
              <w:spacing w:line="24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1.发现问题及时维修，并做好相关记录。</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0" w:space="0"/>
              <w:right w:val="single" w:color="000000" w:sz="8" w:space="0"/>
            </w:tcBorders>
            <w:tcW w:w="2268" w:type="dxa"/>
            <w:vAlign w:val="top"/>
            <w:vMerge w:val="restart"/>
            <w:textDirection w:val="lrTb"/>
            <w:noWrap w:val="false"/>
          </w:tcPr>
          <w:p>
            <w:pPr>
              <w:pStyle w:val="88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维修不及时，管道设施、供水供电以及公共设施损坏，自来水跑、冒、滴、漏等现象，发现一处扣1分，最多扣10分。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0" w:space="0"/>
              <w:right w:val="single" w:color="000000" w:sz="8" w:space="0"/>
            </w:tcBorders>
            <w:tcW w:w="709" w:type="dxa"/>
            <w:vAlign w:val="top"/>
            <w:vMerge w:val="restart"/>
            <w:textDirection w:val="lrTb"/>
            <w:noWrap w:val="false"/>
          </w:tcPr>
          <w:p>
            <w:pPr>
              <w:pStyle w:val="887"/>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0" w:space="0"/>
              <w:right w:val="single" w:color="000000" w:sz="8" w:space="0"/>
            </w:tcBorders>
            <w:tcW w:w="1276" w:type="dxa"/>
            <w:vAlign w:val="top"/>
            <w:vMerge w:val="restart"/>
            <w:textDirection w:val="lrTb"/>
            <w:noWrap w:val="false"/>
          </w:tcPr>
          <w:p>
            <w:pPr>
              <w:pStyle w:val="887"/>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012" w:hRule="exact"/>
        </w:trPr>
        <w:tc>
          <w:tcPr>
            <w:tcBorders>
              <w:top w:val="none" w:color="000000" w:sz="0" w:space="0"/>
              <w:left w:val="single" w:color="000000" w:sz="4" w:space="0"/>
              <w:bottom w:val="none" w:color="000000" w:sz="0" w:space="0"/>
              <w:right w:val="single" w:color="000000" w:sz="4" w:space="0"/>
            </w:tcBorders>
            <w:tcW w:w="1468" w:type="dxa"/>
            <w:vAlign w:val="center"/>
            <w:vMerge w:val="continue"/>
            <w:textDirection w:val="lrTb"/>
            <w:noWrap w:val="false"/>
          </w:tcPr>
          <w:p>
            <w:pPr>
              <w:pStyle w:val="887"/>
              <w:jc w:val="righ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5103" w:type="dxa"/>
            <w:vAlign w:val="center"/>
            <w:vMerge w:val="continue"/>
            <w:textDirection w:val="lrTb"/>
            <w:noWrap w:val="false"/>
          </w:tcPr>
          <w:p>
            <w:pPr>
              <w:pStyle w:val="887"/>
              <w:jc w:val="left"/>
              <w:keepLines w:val="0"/>
              <w:keepNext w:val="0"/>
              <w:pageBreakBefore w:val="0"/>
              <w:spacing w:line="2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8" w:space="0"/>
            </w:tcBorders>
            <w:tcW w:w="2268" w:type="dxa"/>
            <w:vAlign w:val="top"/>
            <w:vMerge w:val="continue"/>
            <w:textDirection w:val="lrTb"/>
            <w:noWrap w:val="false"/>
          </w:tcPr>
          <w:p>
            <w:pPr>
              <w:pStyle w:val="887"/>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8" w:space="0"/>
              <w:bottom w:val="single" w:color="000000" w:sz="4" w:space="0"/>
              <w:right w:val="single" w:color="000000" w:sz="8" w:space="0"/>
            </w:tcBorders>
            <w:tcW w:w="709" w:type="dxa"/>
            <w:vAlign w:val="top"/>
            <w:vMerge w:val="continue"/>
            <w:textDirection w:val="lrTb"/>
            <w:noWrap w:val="false"/>
          </w:tcPr>
          <w:p>
            <w:pPr>
              <w:pStyle w:val="887"/>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single" w:color="000000" w:sz="8" w:space="0"/>
              <w:bottom w:val="single" w:color="000000" w:sz="4" w:space="0"/>
              <w:right w:val="single" w:color="000000" w:sz="8" w:space="0"/>
            </w:tcBorders>
            <w:tcW w:w="1276" w:type="dxa"/>
            <w:vAlign w:val="top"/>
            <w:vMerge w:val="continue"/>
            <w:textDirection w:val="lrTb"/>
            <w:noWrap w:val="false"/>
          </w:tcPr>
          <w:p>
            <w:pPr>
              <w:pStyle w:val="887"/>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single" w:color="000000" w:sz="8" w:space="0"/>
              <w:bottom w:val="none" w:color="000000" w:sz="0" w:space="0"/>
              <w:right w:val="none" w:color="000000" w:sz="0" w:space="0"/>
            </w:tcBorders>
            <w:tcW w:w="236" w:type="dxa"/>
            <w:vAlign w:val="center"/>
            <w:textDirection w:val="lrTb"/>
            <w:noWrap w:val="false"/>
          </w:tcPr>
          <w:p>
            <w:pPr>
              <w:pStyle w:val="887"/>
              <w:jc w:val="righ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50"/>
        </w:trPr>
        <w:tc>
          <w:tcPr>
            <w:tcBorders>
              <w:top w:val="none" w:color="000000" w:sz="0" w:space="0"/>
              <w:left w:val="single" w:color="000000" w:sz="4" w:space="0"/>
              <w:bottom w:val="none" w:color="000000" w:sz="0" w:space="0"/>
              <w:right w:val="single" w:color="000000" w:sz="4" w:space="0"/>
            </w:tcBorders>
            <w:tcW w:w="1468" w:type="dxa"/>
            <w:vAlign w:val="center"/>
            <w:vMerge w:val="continue"/>
            <w:textDirection w:val="lrTb"/>
            <w:noWrap w:val="false"/>
          </w:tcPr>
          <w:p>
            <w:pPr>
              <w:pStyle w:val="887"/>
              <w:jc w:val="righ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pStyle w:val="887"/>
              <w:jc w:val="left"/>
              <w:keepLines w:val="0"/>
              <w:keepNext w:val="0"/>
              <w:pageBreakBefore w:val="0"/>
              <w:spacing w:line="2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2.下水畅通，室外无漫溢现象。</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887"/>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发现一处不合格扣0.5分，最多扣2分。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709" w:type="dxa"/>
            <w:vAlign w:val="top"/>
            <w:textDirection w:val="lrTb"/>
            <w:noWrap w:val="false"/>
          </w:tcPr>
          <w:p>
            <w:pPr>
              <w:pStyle w:val="887"/>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76" w:type="dxa"/>
            <w:vAlign w:val="top"/>
            <w:textDirection w:val="lrTb"/>
            <w:noWrap w:val="false"/>
          </w:tcPr>
          <w:p>
            <w:pPr>
              <w:pStyle w:val="887"/>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887"/>
              <w:jc w:val="righ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81"/>
        </w:trPr>
        <w:tc>
          <w:tcPr>
            <w:tcBorders>
              <w:top w:val="none" w:color="000000" w:sz="0" w:space="0"/>
              <w:left w:val="single" w:color="000000" w:sz="4" w:space="0"/>
              <w:bottom w:val="single" w:color="000000" w:sz="4" w:space="0"/>
              <w:right w:val="single" w:color="000000" w:sz="4" w:space="0"/>
            </w:tcBorders>
            <w:tcW w:w="1468" w:type="dxa"/>
            <w:vAlign w:val="center"/>
            <w:vMerge w:val="continue"/>
            <w:textDirection w:val="lrTb"/>
            <w:noWrap w:val="false"/>
          </w:tcPr>
          <w:p>
            <w:pPr>
              <w:pStyle w:val="887"/>
              <w:jc w:val="righ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5103" w:type="dxa"/>
            <w:vAlign w:val="center"/>
            <w:textDirection w:val="lrTb"/>
            <w:noWrap w:val="false"/>
          </w:tcPr>
          <w:p>
            <w:pPr>
              <w:pStyle w:val="887"/>
              <w:jc w:val="left"/>
              <w:keepLines w:val="0"/>
              <w:keepNext w:val="0"/>
              <w:pageBreakBefore w:val="0"/>
              <w:spacing w:line="2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3.楼顶巡查，保证排水管、排水沟畅通。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268" w:type="dxa"/>
            <w:vAlign w:val="top"/>
            <w:textDirection w:val="lrTb"/>
            <w:noWrap w:val="false"/>
          </w:tcPr>
          <w:p>
            <w:pPr>
              <w:pStyle w:val="887"/>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发现一处不合格扣1分，最多扣3分。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709" w:type="dxa"/>
            <w:vAlign w:val="top"/>
            <w:textDirection w:val="lrTb"/>
            <w:noWrap w:val="false"/>
          </w:tcPr>
          <w:p>
            <w:pPr>
              <w:pStyle w:val="887"/>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76" w:type="dxa"/>
            <w:vAlign w:val="top"/>
            <w:textDirection w:val="lrTb"/>
            <w:noWrap w:val="false"/>
          </w:tcPr>
          <w:p>
            <w:pPr>
              <w:pStyle w:val="887"/>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887"/>
              <w:jc w:val="righ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12"/>
        </w:trPr>
        <w:tc>
          <w:tcPr>
            <w:tcBorders>
              <w:top w:val="none" w:color="000000" w:sz="4" w:space="0"/>
              <w:left w:val="single" w:color="000000" w:sz="4" w:space="0"/>
              <w:bottom w:val="none" w:color="000000" w:sz="0" w:space="0"/>
              <w:right w:val="single" w:color="000000" w:sz="4" w:space="0"/>
            </w:tcBorders>
            <w:tcW w:w="1468" w:type="dxa"/>
            <w:vAlign w:val="center"/>
            <w:vMerge w:val="restart"/>
            <w:textDirection w:val="lrTb"/>
            <w:noWrap w:val="false"/>
          </w:tcPr>
          <w:p>
            <w:pPr>
              <w:pStyle w:val="88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消防设施及节能管理</w:t>
            </w:r>
            <w:r>
              <w:rPr>
                <w:rFonts w:hint="eastAsia" w:ascii="宋体" w:hAnsi="宋体" w:eastAsia="宋体" w:cs="宋体"/>
                <w:color w:val="000000"/>
                <w:sz w:val="21"/>
                <w:szCs w:val="21"/>
                <w:highlight w:val="none"/>
              </w:rPr>
            </w:r>
            <w:r/>
          </w:p>
          <w:p>
            <w:pPr>
              <w:pStyle w:val="88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5103" w:type="dxa"/>
            <w:vAlign w:val="top"/>
            <w:vMerge w:val="restart"/>
            <w:textDirection w:val="lrTb"/>
            <w:noWrap w:val="false"/>
          </w:tcPr>
          <w:p>
            <w:pPr>
              <w:pStyle w:val="887"/>
              <w:jc w:val="left"/>
              <w:keepLines w:val="0"/>
              <w:keepNext w:val="0"/>
              <w:pageBreakBefore w:val="0"/>
              <w:spacing w:line="2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1.负责楼内防火安全工作，检查消防器材设备，确保状态良好，消除</w:t>
            </w:r>
            <w:r>
              <w:rPr>
                <w:rStyle w:val="934"/>
                <w:rFonts w:hint="eastAsia" w:ascii="宋体" w:hAnsi="宋体" w:eastAsia="宋体" w:cs="宋体"/>
                <w:sz w:val="21"/>
                <w:szCs w:val="21"/>
                <w:highlight w:val="none"/>
              </w:rPr>
              <w:t xml:space="preserve">隐患。</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2268" w:type="dxa"/>
            <w:vAlign w:val="top"/>
            <w:vMerge w:val="restart"/>
            <w:textDirection w:val="lrTb"/>
            <w:noWrap w:val="false"/>
          </w:tcPr>
          <w:p>
            <w:pPr>
              <w:pStyle w:val="887"/>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发现一处不合格扣1分，最多扣3分。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709" w:type="dxa"/>
            <w:vAlign w:val="top"/>
            <w:vMerge w:val="restart"/>
            <w:textDirection w:val="lrTb"/>
            <w:noWrap w:val="false"/>
          </w:tcPr>
          <w:p>
            <w:pPr>
              <w:pStyle w:val="887"/>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76" w:type="dxa"/>
            <w:vAlign w:val="top"/>
            <w:vMerge w:val="restart"/>
            <w:textDirection w:val="lrTb"/>
            <w:noWrap w:val="false"/>
          </w:tcPr>
          <w:p>
            <w:pPr>
              <w:pStyle w:val="887"/>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887"/>
              <w:jc w:val="righ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12"/>
        </w:trPr>
        <w:tc>
          <w:tcPr>
            <w:tcBorders>
              <w:top w:val="none" w:color="000000" w:sz="0" w:space="0"/>
              <w:left w:val="single" w:color="000000" w:sz="4" w:space="0"/>
              <w:bottom w:val="none" w:color="000000" w:sz="0" w:space="0"/>
              <w:right w:val="single" w:color="000000" w:sz="4" w:space="0"/>
            </w:tcBorders>
            <w:tcW w:w="1468" w:type="dxa"/>
            <w:vAlign w:val="center"/>
            <w:vMerge w:val="continue"/>
            <w:textDirection w:val="lrTb"/>
            <w:noWrap w:val="false"/>
          </w:tcPr>
          <w:p>
            <w:pPr>
              <w:pStyle w:val="887"/>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5103" w:type="dxa"/>
            <w:vAlign w:val="center"/>
            <w:vMerge w:val="continue"/>
            <w:textDirection w:val="lrTb"/>
            <w:noWrap w:val="false"/>
          </w:tcPr>
          <w:p>
            <w:pPr>
              <w:pStyle w:val="887"/>
              <w:jc w:val="left"/>
              <w:keepLines w:val="0"/>
              <w:keepNext w:val="0"/>
              <w:pageBreakBefore w:val="0"/>
              <w:spacing w:line="2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2268" w:type="dxa"/>
            <w:vAlign w:val="center"/>
            <w:vMerge w:val="continue"/>
            <w:textDirection w:val="lrTb"/>
            <w:noWrap w:val="false"/>
          </w:tcPr>
          <w:p>
            <w:pPr>
              <w:pStyle w:val="887"/>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709" w:type="dxa"/>
            <w:vAlign w:val="center"/>
            <w:vMerge w:val="continue"/>
            <w:textDirection w:val="lrTb"/>
            <w:noWrap w:val="false"/>
          </w:tcPr>
          <w:p>
            <w:pPr>
              <w:pStyle w:val="887"/>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vMerge w:val="continue"/>
            <w:textDirection w:val="lrTb"/>
            <w:noWrap w:val="false"/>
          </w:tcPr>
          <w:p>
            <w:pPr>
              <w:pStyle w:val="887"/>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8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85" w:hRule="exact"/>
        </w:trPr>
        <w:tc>
          <w:tcPr>
            <w:tcBorders>
              <w:top w:val="none" w:color="000000" w:sz="0" w:space="0"/>
              <w:left w:val="single" w:color="000000" w:sz="4" w:space="0"/>
              <w:bottom w:val="none" w:color="000000" w:sz="0" w:space="0"/>
              <w:right w:val="single" w:color="000000" w:sz="4" w:space="0"/>
            </w:tcBorders>
            <w:tcW w:w="1468" w:type="dxa"/>
            <w:vAlign w:val="center"/>
            <w:vMerge w:val="continue"/>
            <w:textDirection w:val="lrTb"/>
            <w:noWrap w:val="false"/>
          </w:tcPr>
          <w:p>
            <w:pPr>
              <w:pStyle w:val="887"/>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5103" w:type="dxa"/>
            <w:vAlign w:val="top"/>
            <w:textDirection w:val="lrTb"/>
            <w:noWrap w:val="false"/>
          </w:tcPr>
          <w:p>
            <w:pPr>
              <w:pStyle w:val="887"/>
              <w:jc w:val="left"/>
              <w:keepLines w:val="0"/>
              <w:keepNext w:val="0"/>
              <w:pageBreakBefore w:val="0"/>
              <w:spacing w:line="2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2.填写消防栓检查表，自身不能消除的消防隐患和安全隐患及时书面上报。</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2268" w:type="dxa"/>
            <w:vAlign w:val="top"/>
            <w:textDirection w:val="lrTb"/>
            <w:noWrap w:val="false"/>
          </w:tcPr>
          <w:p>
            <w:pPr>
              <w:pStyle w:val="887"/>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发现一处不合格扣1分，最多扣2分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709" w:type="dxa"/>
            <w:vAlign w:val="top"/>
            <w:textDirection w:val="lrTb"/>
            <w:noWrap w:val="false"/>
          </w:tcPr>
          <w:p>
            <w:pPr>
              <w:pStyle w:val="8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76" w:type="dxa"/>
            <w:vAlign w:val="top"/>
            <w:textDirection w:val="lrTb"/>
            <w:noWrap w:val="false"/>
          </w:tcPr>
          <w:p>
            <w:pPr>
              <w:pStyle w:val="8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88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52"/>
        </w:trPr>
        <w:tc>
          <w:tcPr>
            <w:tcBorders>
              <w:top w:val="none" w:color="000000" w:sz="0" w:space="0"/>
              <w:left w:val="single" w:color="000000" w:sz="4" w:space="0"/>
              <w:bottom w:val="single" w:color="000000" w:sz="4" w:space="0"/>
              <w:right w:val="single" w:color="000000" w:sz="4" w:space="0"/>
            </w:tcBorders>
            <w:tcW w:w="1468" w:type="dxa"/>
            <w:vAlign w:val="center"/>
            <w:vMerge w:val="continue"/>
            <w:textDirection w:val="lrTb"/>
            <w:noWrap w:val="false"/>
          </w:tcPr>
          <w:p>
            <w:pPr>
              <w:pStyle w:val="887"/>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8" w:space="0"/>
            </w:tcBorders>
            <w:tcW w:w="5103" w:type="dxa"/>
            <w:vAlign w:val="top"/>
            <w:textDirection w:val="lrTb"/>
            <w:noWrap w:val="false"/>
          </w:tcPr>
          <w:p>
            <w:pPr>
              <w:pStyle w:val="887"/>
              <w:jc w:val="left"/>
              <w:keepLines w:val="0"/>
              <w:keepNext w:val="0"/>
              <w:pageBreakBefore w:val="0"/>
              <w:spacing w:line="2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配电房内，不得私拉乱接，摆放杂物，保持干净整洁、教室和公共区域的空调，及时开关，加强空调节电管理、早、晚及时开关灯；辖区楼宇内杜绝出现跑、冒、滴、漏现象；杜绝“白昼灯、长明灯”现象发生。</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8" w:space="0"/>
            </w:tcBorders>
            <w:tcW w:w="2268" w:type="dxa"/>
            <w:vAlign w:val="top"/>
            <w:textDirection w:val="lrTb"/>
            <w:noWrap w:val="false"/>
          </w:tcPr>
          <w:p>
            <w:pPr>
              <w:pStyle w:val="887"/>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发现一处不合格扣1分，最多扣5分。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8" w:space="0"/>
            </w:tcBorders>
            <w:tcW w:w="709" w:type="dxa"/>
            <w:vAlign w:val="top"/>
            <w:textDirection w:val="lrTb"/>
            <w:noWrap w:val="false"/>
          </w:tcPr>
          <w:p>
            <w:pPr>
              <w:pStyle w:val="8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8" w:space="0"/>
            </w:tcBorders>
            <w:tcW w:w="1276" w:type="dxa"/>
            <w:vAlign w:val="top"/>
            <w:textDirection w:val="lrTb"/>
            <w:noWrap w:val="false"/>
          </w:tcPr>
          <w:p>
            <w:pPr>
              <w:pStyle w:val="8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88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704" w:hRule="exact"/>
        </w:trPr>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pStyle w:val="88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安全管</w:t>
            </w:r>
            <w:r>
              <w:rPr>
                <w:rStyle w:val="934"/>
                <w:rFonts w:hint="eastAsia" w:ascii="宋体" w:hAnsi="宋体" w:eastAsia="宋体" w:cs="宋体"/>
                <w:sz w:val="21"/>
                <w:szCs w:val="21"/>
                <w:highlight w:val="none"/>
              </w:rPr>
              <w:t xml:space="preserve">理(35)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03" w:type="dxa"/>
            <w:vAlign w:val="top"/>
            <w:textDirection w:val="lrTb"/>
            <w:noWrap w:val="false"/>
          </w:tcPr>
          <w:p>
            <w:pPr>
              <w:pStyle w:val="887"/>
              <w:keepLines w:val="0"/>
              <w:keepNext w:val="0"/>
              <w:pageBreakBefore w:val="0"/>
              <w:spacing w:line="240" w:lineRule="atLeast"/>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color w:val="000000"/>
                <w:sz w:val="21"/>
                <w:szCs w:val="21"/>
                <w:highlight w:val="none"/>
              </w:rPr>
              <w:t xml:space="preserve">.做好安全守护工作，确保楼内的安全和稳定。落实各项安全措施，做好防范工作，无安全隐患。每月进行安全检查。</w:t>
            </w:r>
            <w:r>
              <w:rPr>
                <w:rFonts w:hint="eastAsia" w:ascii="宋体" w:hAnsi="宋体" w:eastAsia="宋体" w:cs="宋体"/>
                <w:color w:val="000000"/>
                <w:sz w:val="21"/>
                <w:szCs w:val="21"/>
                <w:highlight w:val="none"/>
              </w:rPr>
            </w:r>
            <w:r/>
          </w:p>
          <w:p>
            <w:pPr>
              <w:pStyle w:val="887"/>
              <w:keepLines w:val="0"/>
              <w:keepNext w:val="0"/>
              <w:pageBreakBefore w:val="0"/>
              <w:spacing w:line="2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2.遇突发事件及时处理，第一时间上报后勤处综合科，协助保卫等部门做好各类安全防范工作，消除各类安全隐患。</w:t>
            </w:r>
            <w:r>
              <w:rPr>
                <w:rFonts w:hint="eastAsia" w:ascii="宋体" w:hAnsi="宋体" w:eastAsia="宋体" w:cs="宋体"/>
                <w:color w:val="000000"/>
                <w:sz w:val="21"/>
                <w:szCs w:val="21"/>
                <w:highlight w:val="none"/>
              </w:rPr>
            </w:r>
            <w:r/>
          </w:p>
          <w:p>
            <w:pPr>
              <w:pStyle w:val="887"/>
              <w:keepLines w:val="0"/>
              <w:keepNext w:val="0"/>
              <w:pageBreakBefore w:val="0"/>
              <w:spacing w:line="2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3.如出现重大安全责任事故，扣除安全管理所有分值。</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268" w:type="dxa"/>
            <w:vAlign w:val="top"/>
            <w:textDirection w:val="lrTb"/>
            <w:noWrap w:val="false"/>
          </w:tcPr>
          <w:p>
            <w:pPr>
              <w:pStyle w:val="88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1.有一项未按要求落实扣5分。</w:t>
            </w:r>
            <w:r>
              <w:rPr>
                <w:rFonts w:hint="eastAsia" w:ascii="宋体" w:hAnsi="宋体" w:eastAsia="宋体" w:cs="宋体"/>
                <w:color w:val="000000"/>
                <w:sz w:val="21"/>
                <w:szCs w:val="21"/>
                <w:highlight w:val="none"/>
              </w:rPr>
            </w:r>
            <w:r/>
          </w:p>
          <w:p>
            <w:pPr>
              <w:pStyle w:val="88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2.重大安全事故采取一票否决制，</w:t>
            </w:r>
            <w:bookmarkStart w:id="200" w:name="OLE_LINK7"/>
            <w:r>
              <w:rPr>
                <w:rFonts w:hint="eastAsia" w:ascii="宋体" w:hAnsi="宋体" w:eastAsia="宋体" w:cs="宋体"/>
                <w:color w:val="000000"/>
                <w:sz w:val="21"/>
                <w:szCs w:val="21"/>
                <w:highlight w:val="none"/>
              </w:rPr>
              <w:t xml:space="preserve">扣除安全管理所有分值</w:t>
            </w:r>
            <w:bookmarkEnd w:id="200"/>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single" w:color="000000" w:sz="4" w:space="0"/>
              <w:bottom w:val="none" w:color="000000" w:sz="0" w:space="0"/>
              <w:right w:val="none" w:color="000000" w:sz="0" w:space="0"/>
            </w:tcBorders>
            <w:tcW w:w="236" w:type="dxa"/>
            <w:vAlign w:val="center"/>
            <w:textDirection w:val="lrTb"/>
            <w:noWrap w:val="false"/>
          </w:tcPr>
          <w:p>
            <w:pPr>
              <w:pStyle w:val="88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56" w:hRule="exact"/>
        </w:trPr>
        <w:tc>
          <w:tcPr>
            <w:tcBorders>
              <w:top w:val="single" w:color="000000" w:sz="4" w:space="0"/>
              <w:left w:val="single" w:color="000000" w:sz="4" w:space="0"/>
              <w:bottom w:val="none" w:color="000000" w:sz="0" w:space="0"/>
              <w:right w:val="single" w:color="000000" w:sz="4" w:space="0"/>
            </w:tcBorders>
            <w:tcW w:w="1468" w:type="dxa"/>
            <w:vAlign w:val="center"/>
            <w:vMerge w:val="restart"/>
            <w:textDirection w:val="lrTb"/>
            <w:noWrap w:val="false"/>
          </w:tcPr>
          <w:p>
            <w:pPr>
              <w:pStyle w:val="88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rPr>
            </w:r>
            <w:r/>
          </w:p>
          <w:p>
            <w:pPr>
              <w:pStyle w:val="88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8" w:space="0"/>
              <w:right w:val="single" w:color="000000" w:sz="8" w:space="0"/>
            </w:tcBorders>
            <w:tcW w:w="5103" w:type="dxa"/>
            <w:vAlign w:val="top"/>
            <w:textDirection w:val="lrTb"/>
            <w:noWrap w:val="false"/>
          </w:tcPr>
          <w:p>
            <w:pPr>
              <w:pStyle w:val="887"/>
              <w:keepLines w:val="0"/>
              <w:keepNext w:val="0"/>
              <w:pageBreakBefore w:val="0"/>
              <w:spacing w:line="2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1.完成学校其他各项指令性任务。管理服务创新，重大活动主动配合，积极完成。</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8" w:space="0"/>
              <w:right w:val="single" w:color="000000" w:sz="8" w:space="0"/>
            </w:tcBorders>
            <w:tcW w:w="2268" w:type="dxa"/>
            <w:vAlign w:val="top"/>
            <w:textDirection w:val="lrTb"/>
            <w:noWrap w:val="false"/>
          </w:tcPr>
          <w:p>
            <w:pPr>
              <w:pStyle w:val="88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有一项不符合扣1分，最多扣4分。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8" w:space="0"/>
              <w:right w:val="single" w:color="000000" w:sz="8" w:space="0"/>
            </w:tcBorders>
            <w:tcW w:w="709" w:type="dxa"/>
            <w:vAlign w:val="top"/>
            <w:textDirection w:val="lrTb"/>
            <w:noWrap w:val="false"/>
          </w:tcPr>
          <w:p>
            <w:pPr>
              <w:pStyle w:val="8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8" w:space="0"/>
              <w:right w:val="single" w:color="000000" w:sz="8" w:space="0"/>
            </w:tcBorders>
            <w:tcW w:w="1276" w:type="dxa"/>
            <w:vAlign w:val="top"/>
            <w:textDirection w:val="lrTb"/>
            <w:noWrap w:val="false"/>
          </w:tcPr>
          <w:p>
            <w:pPr>
              <w:pStyle w:val="8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88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433" w:hRule="exact"/>
        </w:trPr>
        <w:tc>
          <w:tcPr>
            <w:tcBorders>
              <w:top w:val="none" w:color="000000" w:sz="0" w:space="0"/>
              <w:left w:val="single" w:color="000000" w:sz="4" w:space="0"/>
              <w:bottom w:val="none" w:color="000000" w:sz="0" w:space="0"/>
              <w:right w:val="single" w:color="000000" w:sz="4" w:space="0"/>
            </w:tcBorders>
            <w:tcW w:w="1468" w:type="dxa"/>
            <w:vAlign w:val="center"/>
            <w:vMerge w:val="continue"/>
            <w:textDirection w:val="lrTb"/>
            <w:noWrap w:val="false"/>
          </w:tcPr>
          <w:p>
            <w:pPr>
              <w:pStyle w:val="88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5103" w:type="dxa"/>
            <w:vAlign w:val="top"/>
            <w:textDirection w:val="lrTb"/>
            <w:noWrap w:val="false"/>
          </w:tcPr>
          <w:p>
            <w:pPr>
              <w:pStyle w:val="887"/>
              <w:keepLines w:val="0"/>
              <w:keepNext w:val="0"/>
              <w:pageBreakBefore w:val="0"/>
              <w:spacing w:line="2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2.按照学校要求做好相关工作，完成防汛、防寒潮等极端天气的应对工作和各项突发情况的处置工作。</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2268" w:type="dxa"/>
            <w:vAlign w:val="top"/>
            <w:textDirection w:val="lrTb"/>
            <w:noWrap w:val="false"/>
          </w:tcPr>
          <w:p>
            <w:pPr>
              <w:pStyle w:val="88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有一项不符合扣1分，最多扣4分。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709" w:type="dxa"/>
            <w:vAlign w:val="top"/>
            <w:textDirection w:val="lrTb"/>
            <w:noWrap w:val="false"/>
          </w:tcPr>
          <w:p>
            <w:pPr>
              <w:pStyle w:val="8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76" w:type="dxa"/>
            <w:vAlign w:val="top"/>
            <w:textDirection w:val="lrTb"/>
            <w:noWrap w:val="false"/>
          </w:tcPr>
          <w:p>
            <w:pPr>
              <w:pStyle w:val="8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88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58" w:hRule="exact"/>
        </w:trPr>
        <w:tc>
          <w:tcPr>
            <w:tcBorders>
              <w:top w:val="none" w:color="000000" w:sz="0" w:space="0"/>
              <w:left w:val="single" w:color="000000" w:sz="4" w:space="0"/>
              <w:bottom w:val="single" w:color="000000" w:sz="4" w:space="0"/>
              <w:right w:val="single" w:color="000000" w:sz="4" w:space="0"/>
            </w:tcBorders>
            <w:tcW w:w="1468" w:type="dxa"/>
            <w:vAlign w:val="center"/>
            <w:vMerge w:val="continue"/>
            <w:textDirection w:val="lrTb"/>
            <w:noWrap w:val="false"/>
          </w:tcPr>
          <w:p>
            <w:pPr>
              <w:pStyle w:val="88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5103" w:type="dxa"/>
            <w:vAlign w:val="top"/>
            <w:textDirection w:val="lrTb"/>
            <w:noWrap w:val="false"/>
          </w:tcPr>
          <w:p>
            <w:pPr>
              <w:pStyle w:val="887"/>
              <w:keepLines w:val="0"/>
              <w:keepNext w:val="0"/>
              <w:pageBreakBefore w:val="0"/>
              <w:spacing w:line="2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3.按照各项竞赛、考试等活动的主管部门要求完成保障工作。</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2268" w:type="dxa"/>
            <w:vAlign w:val="top"/>
            <w:textDirection w:val="lrTb"/>
            <w:noWrap w:val="false"/>
          </w:tcPr>
          <w:p>
            <w:pPr>
              <w:pStyle w:val="88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有一项不符合扣1分，最多扣2分。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709" w:type="dxa"/>
            <w:vAlign w:val="top"/>
            <w:textDirection w:val="lrTb"/>
            <w:noWrap w:val="false"/>
          </w:tcPr>
          <w:p>
            <w:pPr>
              <w:pStyle w:val="8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76" w:type="dxa"/>
            <w:vAlign w:val="top"/>
            <w:textDirection w:val="lrTb"/>
            <w:noWrap w:val="false"/>
          </w:tcPr>
          <w:p>
            <w:pPr>
              <w:pStyle w:val="8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88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82"/>
        </w:trPr>
        <w:tc>
          <w:tcPr>
            <w:gridSpan w:val="5"/>
            <w:tcBorders>
              <w:top w:val="single" w:color="000000" w:sz="8" w:space="0"/>
              <w:left w:val="single" w:color="000000" w:sz="8" w:space="0"/>
              <w:bottom w:val="single" w:color="000000" w:sz="8" w:space="0"/>
              <w:right w:val="single" w:color="000000" w:sz="8" w:space="0"/>
            </w:tcBorders>
            <w:tcW w:w="10824" w:type="dxa"/>
            <w:vAlign w:val="center"/>
            <w:textDirection w:val="lrTb"/>
            <w:noWrap w:val="false"/>
          </w:tcPr>
          <w:p>
            <w:pPr>
              <w:pStyle w:val="887"/>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考核得分达85分以上(含85分)学校全额支付合同价款，85分以下每扣1分，扣1000元</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88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887"/>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考核人（签字）：            考核对象（签字）：            考核时间：          </w:t>
      </w:r>
      <w:r>
        <w:rPr>
          <w:rFonts w:hint="eastAsia" w:ascii="宋体" w:hAnsi="宋体" w:eastAsia="宋体" w:cs="宋体"/>
          <w:sz w:val="24"/>
          <w:szCs w:val="24"/>
          <w:highlight w:val="none"/>
        </w:rPr>
      </w:r>
      <w:r/>
    </w:p>
    <w:p>
      <w:pPr>
        <w:pStyle w:val="887"/>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说明：学校可根据工作实际情况对本表格的内容进行调整。</w:t>
      </w:r>
      <w:r>
        <w:rPr>
          <w:rFonts w:hint="eastAsia" w:ascii="宋体" w:hAnsi="宋体" w:eastAsia="宋体" w:cs="宋体"/>
          <w:sz w:val="24"/>
          <w:szCs w:val="24"/>
          <w:highlight w:val="none"/>
        </w:rPr>
      </w:r>
      <w:r/>
    </w:p>
    <w:p>
      <w:pPr>
        <w:pStyle w:val="887"/>
        <w:jc w:val="left"/>
        <w:widowControl/>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b/>
          <w:bCs/>
          <w:sz w:val="24"/>
          <w:szCs w:val="24"/>
          <w:highlight w:val="none"/>
        </w:rPr>
        <w:t xml:space="preserve">（三）考核成绩的应用</w:t>
      </w:r>
      <w:r>
        <w:rPr>
          <w:rFonts w:hint="eastAsia" w:ascii="宋体" w:hAnsi="宋体" w:eastAsia="宋体" w:cs="宋体"/>
          <w:b/>
          <w:bCs/>
          <w:sz w:val="24"/>
          <w:szCs w:val="24"/>
          <w:highlight w:val="none"/>
        </w:rPr>
      </w:r>
      <w:r/>
    </w:p>
    <w:p>
      <w:pPr>
        <w:pStyle w:val="887"/>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1.考核结果与委托管理费直接挂钩，考核得分达85分以上(含85分)学校全额支付合同价款，考核成绩低于85分为不合格，85分以下每扣1分，扣1000元。</w:t>
      </w:r>
      <w:r>
        <w:rPr>
          <w:rFonts w:hint="eastAsia" w:ascii="宋体" w:hAnsi="宋体" w:eastAsia="宋体" w:cs="宋体"/>
          <w:sz w:val="24"/>
          <w:szCs w:val="24"/>
          <w:highlight w:val="none"/>
        </w:rPr>
      </w:r>
      <w:r/>
    </w:p>
    <w:p>
      <w:pPr>
        <w:pStyle w:val="887"/>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2.物业公司违反合同的有关规定，达不到考核标准的，后勤基建处综合科有权扣发部分或全部考核费。</w:t>
      </w:r>
      <w:r>
        <w:rPr>
          <w:rFonts w:hint="eastAsia" w:ascii="宋体" w:hAnsi="宋体" w:eastAsia="宋体" w:cs="宋体"/>
          <w:sz w:val="24"/>
          <w:szCs w:val="24"/>
          <w:highlight w:val="none"/>
        </w:rPr>
      </w:r>
      <w:r/>
    </w:p>
    <w:p>
      <w:pPr>
        <w:pStyle w:val="887"/>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3.考核不合格扣除的费用及罚款费用从物业费中扣除，不单独财务缴费。</w:t>
      </w:r>
      <w:r>
        <w:rPr>
          <w:rFonts w:hint="eastAsia" w:ascii="宋体" w:hAnsi="宋体" w:eastAsia="宋体" w:cs="宋体"/>
          <w:sz w:val="24"/>
          <w:szCs w:val="24"/>
          <w:highlight w:val="none"/>
        </w:rPr>
      </w:r>
      <w:r/>
    </w:p>
    <w:p>
      <w:pPr>
        <w:pStyle w:val="887"/>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4.人员配置人数为最低配置人数，对在合同服务期间发现物业公司人员配置不足，按照实际人数支付物业服务费用，同时发出整改通知单限期整改；如果未及时整改到位，立即终止合同。</w:t>
      </w:r>
      <w:r>
        <w:rPr>
          <w:rFonts w:hint="eastAsia" w:ascii="宋体" w:hAnsi="宋体" w:eastAsia="宋体" w:cs="宋体"/>
          <w:sz w:val="24"/>
          <w:szCs w:val="24"/>
          <w:highlight w:val="none"/>
        </w:rPr>
      </w:r>
      <w:r/>
    </w:p>
    <w:p>
      <w:pPr>
        <w:pStyle w:val="887"/>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对在考核检查中发现的问题，后勤基建处综合科发出整改通知单限期整改；如果物业公司在限期内未能整改到位或同一问题连续两次被限期整改，将依据招标文件和《楼宇物业管理服务与标准》中的有关条款对物业管理服务公司扣除相应款项。</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6.对楼宇中发生重大安全事故的物业公司实行一票否决，立即终止合同，并由相关部门追究物业管理公司的责任。</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7.对突发事件处置不当，将视情节轻重扣罚500至10000元。</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8.维修需及时到位，做到“零星维修及时处理，小修当日完成”。乙方未能及时完成维修项目，视情节轻重，经双方现场确认，每次扣除乙方服务费200—2000元。</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9.根据楼宇物业管理管理考核表，乙方未能达到服务要求，视情节轻重，经双方现场确认，每次扣除乙方服务费200—2000元。</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根据甲方年度组织对物业管理工作满意度调查结果，综合满意率每低于90%一个百分点（不足一个百分点的按一个百分点计算），扣除物业服务费10000元或综合满意率低于90%，甲方有权单方面终止合同，不承担由此所产生的任何费用。</w:t>
      </w:r>
      <w:r>
        <w:rPr>
          <w:rFonts w:hint="eastAsia" w:ascii="宋体" w:hAnsi="宋体" w:eastAsia="宋体" w:cs="宋体"/>
          <w:sz w:val="24"/>
          <w:szCs w:val="24"/>
          <w:highlight w:val="none"/>
        </w:rPr>
      </w:r>
      <w:r/>
    </w:p>
    <w:p>
      <w:pPr>
        <w:pStyle w:val="887"/>
        <w:ind w:right="55"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11.物业公司管理人员需服从后勤基建处管理，如不服从管理，将视情节轻重扣罚500—5000元。</w:t>
      </w:r>
      <w:r>
        <w:rPr>
          <w:rFonts w:hint="eastAsia" w:ascii="宋体" w:hAnsi="宋体" w:eastAsia="宋体" w:cs="宋体"/>
          <w:sz w:val="24"/>
          <w:szCs w:val="24"/>
          <w:highlight w:val="none"/>
        </w:rPr>
      </w:r>
      <w:r/>
    </w:p>
    <w:p>
      <w:pPr>
        <w:pStyle w:val="88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（四）付款方式</w:t>
      </w:r>
      <w:r>
        <w:rPr>
          <w:rFonts w:hint="eastAsia" w:ascii="宋体" w:hAnsi="宋体" w:eastAsia="宋体" w:cs="宋体"/>
          <w:sz w:val="24"/>
          <w:szCs w:val="24"/>
          <w:highlight w:val="none"/>
        </w:rPr>
      </w:r>
      <w:r/>
    </w:p>
    <w:p>
      <w:pPr>
        <w:pStyle w:val="887"/>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合同签订，服务开始后，甲乙双方每3个月为一个周期结算服务费用，甲乙双方按考核结果确定实际支付费用，甲方自收到正式发票之日起30日内支付。</w:t>
      </w:r>
      <w:r>
        <w:rPr>
          <w:rFonts w:hint="eastAsia" w:ascii="宋体" w:hAnsi="宋体" w:eastAsia="宋体" w:cs="宋体"/>
          <w:sz w:val="24"/>
          <w:szCs w:val="24"/>
          <w:highlight w:val="none"/>
        </w:rPr>
      </w:r>
      <w:r/>
    </w:p>
    <w:p>
      <w:pPr>
        <w:pStyle w:val="887"/>
        <w:spacing w:line="600" w:lineRule="exact"/>
        <w:rPr>
          <w:rFonts w:hint="eastAsia" w:ascii="宋体" w:hAnsi="宋体" w:eastAsia="宋体" w:cs="宋体"/>
          <w:sz w:val="24"/>
          <w:szCs w:val="24"/>
          <w:highlight w:val="none"/>
          <w:lang w:val="zh-CN"/>
        </w:rPr>
      </w:pPr>
      <w:r/>
      <w:bookmarkStart w:id="201" w:name="_Hlk233356862"/>
      <w:r>
        <w:rPr>
          <w:rFonts w:hint="eastAsia" w:ascii="宋体" w:hAnsi="宋体" w:eastAsia="宋体" w:cs="宋体"/>
          <w:sz w:val="24"/>
          <w:szCs w:val="24"/>
          <w:highlight w:val="none"/>
        </w:rPr>
        <w:t xml:space="preserve">五</w:t>
      </w:r>
      <w:r>
        <w:rPr>
          <w:rFonts w:hint="eastAsia" w:ascii="宋体" w:hAnsi="宋体" w:eastAsia="宋体" w:cs="宋体"/>
          <w:sz w:val="24"/>
          <w:szCs w:val="24"/>
          <w:highlight w:val="none"/>
          <w:lang w:val="zh-CN"/>
        </w:rPr>
        <w:t xml:space="preserve">、技术服务方案</w:t>
      </w:r>
      <w:r>
        <w:rPr>
          <w:rFonts w:hint="eastAsia" w:ascii="宋体" w:hAnsi="宋体" w:eastAsia="宋体" w:cs="宋体"/>
          <w:sz w:val="24"/>
          <w:szCs w:val="24"/>
          <w:highlight w:val="none"/>
          <w:lang w:val="zh-CN"/>
        </w:rPr>
      </w:r>
      <w:r/>
    </w:p>
    <w:p>
      <w:pPr>
        <w:pStyle w:val="887"/>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全面负责公共部位及附属场地全方面综合管理，主要为：安全保障管理、公共环境卫生、小型维修与设施维护、内部管理、节能管理等。</w:t>
      </w:r>
      <w:r>
        <w:rPr>
          <w:rFonts w:hint="eastAsia" w:ascii="宋体" w:hAnsi="宋体" w:eastAsia="宋体" w:cs="宋体"/>
          <w:color w:val="000000"/>
          <w:sz w:val="24"/>
          <w:szCs w:val="24"/>
          <w:highlight w:val="none"/>
          <w:lang w:bidi="ar"/>
        </w:rPr>
      </w:r>
      <w:r/>
    </w:p>
    <w:p>
      <w:pPr>
        <w:pStyle w:val="887"/>
        <w:ind w:firstLine="482"/>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（一）安全保障管理</w:t>
      </w:r>
      <w:r>
        <w:rPr>
          <w:rFonts w:hint="eastAsia" w:ascii="宋体" w:hAnsi="宋体" w:eastAsia="宋体" w:cs="宋体"/>
          <w:b/>
          <w:bCs/>
          <w:sz w:val="24"/>
          <w:szCs w:val="24"/>
          <w:highlight w:val="none"/>
        </w:rPr>
      </w:r>
      <w:r/>
    </w:p>
    <w:p>
      <w:pPr>
        <w:pStyle w:val="887"/>
        <w:ind w:firstLine="562"/>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1.楼宇实行24小时安全管理制度，严禁脱岗，每天做好值班和交接班记录。</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2.保持信息渠道通畅，项目经理24小时通讯畅通，离开学校一天以上，提前一天告知后勤基建处综合科；楼内突发重大事件必须及时报告后勤基建处相关负责人。</w:t>
      </w:r>
      <w:r>
        <w:rPr>
          <w:rFonts w:hint="eastAsia" w:ascii="宋体" w:hAnsi="宋体" w:eastAsia="宋体" w:cs="宋体"/>
          <w:sz w:val="24"/>
          <w:szCs w:val="24"/>
          <w:highlight w:val="none"/>
        </w:rPr>
      </w:r>
      <w:r/>
    </w:p>
    <w:p>
      <w:pPr>
        <w:pStyle w:val="887"/>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3.按时开、关各楼宇大门，晚清场后检查各办公室、实训室、教室等门、窗是否关好、电源是否切断；必须熟悉本楼分布情况。</w:t>
      </w:r>
      <w:r>
        <w:rPr>
          <w:rFonts w:hint="eastAsia" w:ascii="宋体" w:hAnsi="宋体" w:eastAsia="宋体" w:cs="宋体"/>
          <w:color w:val="000000"/>
          <w:sz w:val="24"/>
          <w:szCs w:val="24"/>
          <w:highlight w:val="none"/>
          <w:lang w:bidi="ar"/>
        </w:rPr>
        <w:t xml:space="preserve">做好体育场馆内体育器材的收发及保管。</w:t>
      </w:r>
      <w:r>
        <w:rPr>
          <w:rFonts w:hint="eastAsia" w:ascii="宋体" w:hAnsi="宋体" w:eastAsia="宋体" w:cs="宋体"/>
          <w:color w:val="000000"/>
          <w:sz w:val="24"/>
          <w:szCs w:val="24"/>
          <w:highlight w:val="none"/>
          <w:lang w:bidi="ar"/>
        </w:rPr>
      </w:r>
      <w:r/>
    </w:p>
    <w:p>
      <w:pPr>
        <w:pStyle w:val="887"/>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4.消防管理，定期进行消防、应急灯、疏散标志、安全设施检查，并做好相关记录</w:t>
      </w:r>
      <w:r>
        <w:rPr>
          <w:rFonts w:hint="eastAsia" w:ascii="宋体" w:hAnsi="宋体" w:eastAsia="宋体" w:cs="宋体"/>
          <w:color w:val="000000"/>
          <w:sz w:val="24"/>
          <w:szCs w:val="24"/>
          <w:highlight w:val="none"/>
          <w:lang w:bidi="ar"/>
        </w:rPr>
        <w:t xml:space="preserve">。确保其处于良好状态，及时纠正违章，消除火险隐患，对于自身不能消除的消防隐患及时书面通知甲方管理部门。</w:t>
      </w:r>
      <w:r>
        <w:rPr>
          <w:rFonts w:hint="eastAsia" w:ascii="宋体" w:hAnsi="宋体" w:eastAsia="宋体" w:cs="宋体"/>
          <w:color w:val="000000"/>
          <w:sz w:val="24"/>
          <w:szCs w:val="24"/>
          <w:highlight w:val="none"/>
          <w:lang w:bidi="ar"/>
        </w:rPr>
      </w:r>
      <w:r/>
    </w:p>
    <w:p>
      <w:pPr>
        <w:pStyle w:val="887"/>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5.负责楼内的防火安全工作，定期检查消防器材设备，</w:t>
      </w:r>
      <w:r>
        <w:rPr>
          <w:rFonts w:hint="eastAsia" w:ascii="宋体" w:hAnsi="宋体" w:eastAsia="宋体" w:cs="宋体"/>
          <w:color w:val="000000"/>
          <w:sz w:val="24"/>
          <w:szCs w:val="24"/>
          <w:highlight w:val="none"/>
          <w:lang w:bidi="ar"/>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6.楼内无吸烟、酗酒、打架斗殴等不文明现象；严禁易燃、易爆、有毒等危害物品进入大楼；无火灾、无意外、无刑事案件发生，无违章使用电器；无明火及焚烧杂物的现象；无张贴小广告现象。</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楼内秩序井然，楼内、外通道禁止乱停乱放车辆；禁止楼内电瓶车充电；卫生间、通道口等禁止堆放闲杂物品；制定各类突发事件应急预案，定期进行演练，有突发事件按预案及时处理，并迅速上报后勤基建处综合科。</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8.严格执行《扬州工业职业技术学院水电管理办法》，按学院规定进行用电管理。</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9.提醒教师下班切断电源、关好门窗、贵重物品妥善保管。</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10.特种设备（电梯）管理，确保师生乘坐安全，发生安全运行故障时应及时处理并通知相关人员。</w:t>
      </w:r>
      <w:r>
        <w:rPr>
          <w:rFonts w:hint="eastAsia" w:ascii="宋体" w:hAnsi="宋体" w:eastAsia="宋体" w:cs="宋体"/>
          <w:sz w:val="24"/>
          <w:szCs w:val="24"/>
          <w:highlight w:val="none"/>
        </w:rPr>
      </w:r>
      <w:r/>
    </w:p>
    <w:p>
      <w:pPr>
        <w:pStyle w:val="887"/>
        <w:ind w:firstLine="482"/>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（二）公共环境卫生要求</w:t>
      </w:r>
      <w:r>
        <w:rPr>
          <w:rFonts w:hint="eastAsia" w:ascii="宋体" w:hAnsi="宋体" w:eastAsia="宋体" w:cs="宋体"/>
          <w:b/>
          <w:bCs/>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1.保洁区域：包括楼道、楼梯及扶手、电梯间、卫生间、大厅、门厅、报告厅、部分会议室、教室、门、窗玻璃、日光灯罩、应急灯、电风扇、消防箱、踏步等。</w:t>
      </w:r>
      <w:r>
        <w:rPr>
          <w:rFonts w:hint="eastAsia" w:ascii="宋体" w:hAnsi="宋体" w:eastAsia="宋体" w:cs="宋体"/>
          <w:sz w:val="24"/>
          <w:szCs w:val="24"/>
          <w:highlight w:val="none"/>
        </w:rPr>
      </w:r>
      <w:r/>
    </w:p>
    <w:p>
      <w:pPr>
        <w:pStyle w:val="887"/>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2.保洁要求：门、窗玻璃、吊顶扣板层面、走廊桥架、楼道墙面及顶部、教室内灯具、电风扇、课桌、讲台、墙壁、消防器材、应急灯等部位无污迹、无灰尘、无蜘蛛网、无卫生死角、无划痕、无乱张贴、玻璃明亮；窗台无杂物；卫生间每天循环保洁，做到无异味、无灰尘、纸篓内垃圾不超过2/3，每天及时清理，保持干净；做到地面无积水、无杂物、无垃圾、无痰迹，楼梯、护栏、扶手等保持整洁；垃圾桶无污迹、无积灰。保持楼宇周围环境卫生，地面无烟头、纸屑等杂物；绿化区内做到无杂物、整齐美观。</w:t>
      </w:r>
      <w:r>
        <w:rPr>
          <w:rFonts w:hint="eastAsia" w:ascii="宋体" w:hAnsi="宋体" w:eastAsia="宋体" w:cs="宋体"/>
          <w:color w:val="000000"/>
          <w:sz w:val="24"/>
          <w:szCs w:val="24"/>
          <w:highlight w:val="none"/>
          <w:lang w:bidi="ar"/>
        </w:rPr>
        <w:t xml:space="preserve">楼宇周围绿化区域内各类丢弃物的清理。</w:t>
      </w:r>
      <w:r>
        <w:rPr>
          <w:rFonts w:hint="eastAsia" w:ascii="宋体" w:hAnsi="宋体" w:eastAsia="宋体" w:cs="宋体"/>
          <w:color w:val="000000"/>
          <w:sz w:val="24"/>
          <w:szCs w:val="24"/>
          <w:highlight w:val="none"/>
          <w:lang w:bidi="ar"/>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3.楼宇四周定期灭杀蚊子、苍蝇、老鼠、蟑螂等害虫，灭“四害”台帐齐全。</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4.做好传染病的预防和防止传染病扩散的预案。</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5.楼内垃圾做到日产日清并放置指定地点。</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6.</w:t>
      </w:r>
      <w:r>
        <w:rPr>
          <w:rFonts w:hint="eastAsia" w:ascii="宋体" w:hAnsi="宋体" w:eastAsia="宋体" w:cs="宋体"/>
          <w:color w:val="000000"/>
          <w:sz w:val="24"/>
          <w:szCs w:val="24"/>
          <w:highlight w:val="none"/>
          <w:lang w:bidi="ar"/>
        </w:rPr>
        <w:t xml:space="preserve">做好楼顶的日常保洁工作，全面清理屋面垃圾，保证楼顶落水口以及雨水管道畅通（每年5月、6月、7月、8月每月清理2次，其他月份1个月清理1次）。</w:t>
      </w:r>
      <w:r>
        <w:rPr>
          <w:rFonts w:hint="eastAsia" w:ascii="宋体" w:hAnsi="宋体" w:eastAsia="宋体" w:cs="宋体"/>
          <w:color w:val="000000"/>
          <w:sz w:val="24"/>
          <w:szCs w:val="24"/>
          <w:highlight w:val="none"/>
          <w:lang w:bidi="ar"/>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7.楼内值班室干净、整洁，制度上墙，无乱悬挂、无乱张贴；门厅值班处干净、整洁、台账摆放规范。</w:t>
      </w:r>
      <w:r>
        <w:rPr>
          <w:rFonts w:hint="eastAsia" w:ascii="宋体" w:hAnsi="宋体" w:eastAsia="宋体" w:cs="宋体"/>
          <w:sz w:val="24"/>
          <w:szCs w:val="24"/>
          <w:highlight w:val="none"/>
        </w:rPr>
      </w:r>
      <w:r/>
    </w:p>
    <w:p>
      <w:pPr>
        <w:pStyle w:val="887"/>
        <w:ind w:firstLine="562"/>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（三）小型维修与设施维护</w:t>
      </w:r>
      <w:r>
        <w:rPr>
          <w:rFonts w:hint="eastAsia" w:ascii="宋体" w:hAnsi="宋体" w:eastAsia="宋体" w:cs="宋体"/>
          <w:b/>
          <w:bCs/>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1.建立严格的维修管理制度，配备专业维修人员持证上岗，建立维修档案。</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2.维修及时到位，做到“零星维修及时处理，小修当日完成”，影响正常教学的报修必须立即赶到现场进行抢修。</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3.公共部位、部分会议室、报告厅、接待室、教室、办公室、机房、语音室、消防设备设施等单项维修低于200元（含200元）的维修，物业公司负责；单项维修超出200元的以书面形式立即报后勤综合科审核。</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4.楼内设备、设施定期维护、保养，更换维修材料确保质量合格；保障楼内的公共财物齐全、无人为损坏；公共部位的照明、安全指示灯和应急灯定期巡查保证完好无缺。 </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5.制订完善的维修制度和维修计划，定期对教学设备、水电设施和消防器材进行检查、维护保养并做好记录。</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6.教室和多媒体设备必须重点维护，保障楼内教学、科研工作正常运行，遇大型活动、考试，要求水、电到位、设备设施（包括地砖）完好，提前做好相应的检修工作。</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7.确保楼内卫生间洁具、设施完好，不得出现跑、冒、滴、漏等现象，一旦发现将根据情况扣分。</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8.对所管辖本楼内的学校固定资产做好管理、维护工作，保障各项资产的完好、安全和正常运转；不得私自动用学校任何物品。</w:t>
      </w:r>
      <w:r>
        <w:rPr>
          <w:rFonts w:hint="eastAsia" w:ascii="宋体" w:hAnsi="宋体" w:eastAsia="宋体" w:cs="宋体"/>
          <w:sz w:val="24"/>
          <w:szCs w:val="24"/>
          <w:highlight w:val="none"/>
        </w:rPr>
      </w:r>
      <w:r/>
    </w:p>
    <w:p>
      <w:pPr>
        <w:pStyle w:val="887"/>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9.配电柜和电器管理：电工必须持证上岗，按照国家有关供电法规、以及电器的正确使用办法进行管理，规范操作，安全检查每周不少于1次，并做好记录。</w:t>
      </w:r>
      <w:r>
        <w:rPr>
          <w:rFonts w:hint="eastAsia" w:ascii="宋体" w:hAnsi="宋体" w:eastAsia="宋体" w:cs="宋体"/>
          <w:color w:val="000000"/>
          <w:sz w:val="24"/>
          <w:szCs w:val="24"/>
          <w:highlight w:val="none"/>
          <w:lang w:bidi="ar"/>
        </w:rPr>
      </w:r>
      <w:r/>
    </w:p>
    <w:p>
      <w:pPr>
        <w:pStyle w:val="887"/>
        <w:ind w:firstLine="482"/>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（四）内部管理</w:t>
      </w:r>
      <w:r>
        <w:rPr>
          <w:rFonts w:hint="eastAsia" w:ascii="宋体" w:hAnsi="宋体" w:eastAsia="宋体" w:cs="宋体"/>
          <w:b/>
          <w:bCs/>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1.加强员工精神面貌建设，按照招标规定的人数配备齐全，不缺勤、不脱岗，工作人员挂牌上岗，持证上岗，服装统一、整齐、纪律严明, 主动接受师生的监督。及时传达学校相关文件精神，把工作落到实处。</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2.工作台账填写字体工整、认真规范，值班地点环境优美、整洁，各项规章制度齐全，岗位责任制度上墙。</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3.按照学校统一规定，建立健全各种管理档案及工作台账，如：楼宇管理员交接班记录、突发事件记录、维修记录等，随时供学校相关管理部门调阅。</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4.定期开展多项特色服务及专业技能培训（服务接待、维修技能、保洁技能、礼貌用语等）。</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5.</w:t>
      </w:r>
      <w:r>
        <w:rPr>
          <w:rFonts w:hint="eastAsia" w:ascii="宋体" w:hAnsi="宋体" w:eastAsia="宋体" w:cs="宋体"/>
          <w:color w:val="000000"/>
          <w:sz w:val="24"/>
          <w:szCs w:val="24"/>
          <w:highlight w:val="none"/>
          <w:lang w:bidi="ar"/>
        </w:rPr>
        <w:t xml:space="preserve"> 加强物业管理范围内的噪声污染管理，及时制止环境噪声污染的行为，确保正常的教学、科研、办公和学习不受干扰。</w:t>
      </w:r>
      <w:r>
        <w:rPr>
          <w:rFonts w:hint="eastAsia" w:ascii="宋体" w:hAnsi="宋体" w:eastAsia="宋体" w:cs="宋体"/>
          <w:color w:val="000000"/>
          <w:sz w:val="24"/>
          <w:szCs w:val="24"/>
          <w:highlight w:val="none"/>
          <w:lang w:bidi="ar"/>
        </w:rPr>
      </w:r>
      <w:r/>
    </w:p>
    <w:p>
      <w:pPr>
        <w:pStyle w:val="887"/>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加强物业管理区域内有关物业管理服务的档案、资料的管理。档案和资料的管理包括：采购人档案、设备设施档案、安全管理记录档案、清洁卫生管理档案、人员培训档案等资料档案，所有资料档案做到保存完整，管理完善，交接手续完备，检索方便准确，符合有关标准。</w:t>
      </w:r>
      <w:r>
        <w:rPr>
          <w:rFonts w:hint="eastAsia" w:ascii="宋体" w:hAnsi="宋体" w:eastAsia="宋体" w:cs="宋体"/>
          <w:color w:val="000000"/>
          <w:sz w:val="24"/>
          <w:szCs w:val="24"/>
          <w:highlight w:val="none"/>
          <w:lang w:bidi="ar"/>
        </w:rPr>
      </w:r>
      <w:r/>
    </w:p>
    <w:p>
      <w:pPr>
        <w:pStyle w:val="887"/>
        <w:ind w:firstLine="562"/>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（五）节能管理</w:t>
      </w:r>
      <w:r>
        <w:rPr>
          <w:rFonts w:hint="eastAsia" w:ascii="宋体" w:hAnsi="宋体" w:eastAsia="宋体" w:cs="宋体"/>
          <w:b/>
          <w:bCs/>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1.楼内有规范醒目的节能告示牌、警示牌等。</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2.加强对楼内供水设施管理，杜绝“跑、冒、滴、漏等”现象发生。</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3.加强对楼内用电设施管理，杜绝“白昼灯、长明灯”现象发生。</w:t>
      </w:r>
      <w:r>
        <w:rPr>
          <w:rFonts w:hint="eastAsia" w:ascii="宋体" w:hAnsi="宋体" w:eastAsia="宋体" w:cs="宋体"/>
          <w:sz w:val="24"/>
          <w:szCs w:val="24"/>
          <w:highlight w:val="none"/>
        </w:rPr>
      </w:r>
      <w:r/>
    </w:p>
    <w:p>
      <w:pPr>
        <w:pStyle w:val="887"/>
        <w:ind w:firstLine="482"/>
        <w:spacing w:line="6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（六）应急及突发事件处置方案</w:t>
      </w:r>
      <w:r>
        <w:rPr>
          <w:rFonts w:hint="eastAsia" w:ascii="宋体" w:hAnsi="宋体" w:eastAsia="宋体" w:cs="宋体"/>
          <w:b/>
          <w:bCs/>
          <w:sz w:val="24"/>
          <w:szCs w:val="24"/>
          <w:highlight w:val="none"/>
        </w:rPr>
      </w:r>
      <w:r/>
    </w:p>
    <w:p>
      <w:pPr>
        <w:pStyle w:val="887"/>
        <w:ind w:firstLine="72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1.整体应急方案。投标人应对本项目提供整体应急管理方案包括（应急预案体系、组织机构、物资、撤离安排、培训次数、备用计划）。</w:t>
      </w:r>
      <w:r>
        <w:rPr>
          <w:rFonts w:hint="eastAsia" w:ascii="宋体" w:hAnsi="宋体" w:eastAsia="宋体" w:cs="宋体"/>
          <w:sz w:val="24"/>
          <w:szCs w:val="24"/>
          <w:highlight w:val="none"/>
        </w:rPr>
      </w:r>
      <w:r/>
    </w:p>
    <w:p>
      <w:pPr>
        <w:pStyle w:val="887"/>
        <w:ind w:firstLine="480"/>
        <w:spacing w:line="5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2.各类突发事件处置方案。投标人应按照招标文件需求制定适合本项目的危机预防和应急处理预案，主要考虑特殊时期突发公共事件、断水、断电、漏水、火灾的方案。</w:t>
      </w:r>
      <w:r>
        <w:rPr>
          <w:rFonts w:hint="eastAsia" w:ascii="宋体" w:hAnsi="宋体" w:eastAsia="宋体" w:cs="宋体"/>
          <w:b/>
          <w:sz w:val="24"/>
          <w:szCs w:val="24"/>
          <w:highlight w:val="none"/>
        </w:rPr>
      </w:r>
      <w:r/>
    </w:p>
    <w:p>
      <w:pPr>
        <w:pStyle w:val="887"/>
        <w:ind w:firstLine="562"/>
        <w:spacing w:line="5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（七）其它管理要求</w:t>
      </w:r>
      <w:r>
        <w:rPr>
          <w:rFonts w:hint="eastAsia" w:ascii="宋体" w:hAnsi="宋体" w:eastAsia="宋体" w:cs="宋体"/>
          <w:b/>
          <w:bCs/>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项目经理：全面负责学校物业服务工作的管理，具有本科及以上学历；具有职业等级高级及以上物业管理师证书；具有中级职称；具有高校物业管理经验，善待员工，善于管理、善于沟通，做好与师生的沟通和协调工作；楼宇管理人员：具有初中及以上学历。身体健康，五官端正、热爱和关心学生；综合维修工：具有初中及以上学历，具有低压电工上岗证，须具备焊接和热切割作业证，工作责任心强、有专业知识，身体健康，非工作时间遇突发急修必须第一时间到岗处理。保洁员：具有初中及以上学历，身体健康，循环保洁。</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人员配备齐全。按照《劳动合同法》聘用管理人员，与其签订劳动用工合同；人员聘用、调配手续完备，档案齐全；按《劳动合同法》规定发放人员工资，缴纳社会保险；用工名单及其基本情况报后勤基建处综合科备案；保证一年三节及其它相关福利待遇的发放；严禁出现员工消极怠工现象。</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3.物业公司内部各项规章制度、岗位责任制度齐全并挂在醒目的地方；建立健全各种管理档案，如“员工档案”、“考核制度”等。</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4.工作有年度计划、月度计划、员工培训计划等；要求每学期至少培训一次；各岗位工作人员熟知本岗位工作职责，熟悉楼宇管理规定，清楚本栋楼内部分布情况。</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5.工作人员身体健康，具有爱心、责任心，服务态度好，待人接物热情周到；</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6.积极配合做好学校相关管理部门分配的其他工作，工作具有执行力，服从分配管理。</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7.项目经理必须保证工作时间不得离岗，确需离校需报后勤基建处综合科，经后勤基建处同意方可离岗。</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因学校特殊需要，法定节假日保证楼宇管理员、保洁员不得低于50%。如遇学校特殊活动或其它事项，需服务学校的统一安排。因工作原因产生的加班（含节假日加班）应严格按国家有关法律、法规要求的标准由中标人给付员工加班薪资。</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9.各岗位工作时间要求：项目经理：上午7:50至11:50；下午：13:30至17:30；楼宇管理岗：24小时安全管理；综合维修工：8小时在岗；保洁员岗位：循环保洁。</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10.在各楼值班处提供便民服务，如配备打气筒、针线包、雨伞、小型维修工具箱等，为师生提供相应的服务。</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11.负责楼内开水器专人清理、消毒和记录；负责楼内绿植租摆的监管；因工作需要，在其工作性质范围内完成学校布置的其它工作任务，无推诿现象；对学校布置的工作任务完成情况及时反馈。</w:t>
      </w:r>
      <w:r>
        <w:rPr>
          <w:rFonts w:hint="eastAsia" w:ascii="宋体" w:hAnsi="宋体" w:eastAsia="宋体" w:cs="宋体"/>
          <w:sz w:val="24"/>
          <w:szCs w:val="24"/>
          <w:highlight w:val="none"/>
        </w:rPr>
      </w:r>
      <w:r/>
    </w:p>
    <w:p>
      <w:pPr>
        <w:pStyle w:val="8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12.不得在楼内及相关区域从事商业经营活动和其它以服务学生为主的有偿服务活动。</w:t>
      </w:r>
      <w:r>
        <w:rPr>
          <w:rFonts w:hint="eastAsia" w:ascii="宋体" w:hAnsi="宋体" w:eastAsia="宋体" w:cs="宋体"/>
          <w:sz w:val="24"/>
          <w:szCs w:val="24"/>
          <w:highlight w:val="none"/>
        </w:rPr>
      </w:r>
      <w:r/>
    </w:p>
    <w:p>
      <w:pPr>
        <w:pStyle w:val="887"/>
        <w:spacing w:line="5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六、整体服务方案要求</w:t>
      </w:r>
      <w:r>
        <w:rPr>
          <w:rFonts w:hint="eastAsia" w:ascii="宋体" w:hAnsi="宋体" w:eastAsia="宋体" w:cs="宋体"/>
          <w:sz w:val="24"/>
          <w:szCs w:val="24"/>
          <w:highlight w:val="none"/>
          <w:lang w:val="zh-CN"/>
        </w:rPr>
      </w:r>
      <w:r/>
    </w:p>
    <w:p>
      <w:pPr>
        <w:pStyle w:val="887"/>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投标人应对本项目管理理念、管理工作目标、项目服务定位，服务设想及策划，重点、难点把控情况的分析，提供项目总体服务方案（包含迎新季、毕业季、寒暑假专项服务方案），方案应细致完整、针对性强、措施有力。</w:t>
      </w:r>
      <w:r>
        <w:rPr>
          <w:rFonts w:hint="eastAsia" w:ascii="宋体" w:hAnsi="宋体" w:eastAsia="宋体" w:cs="宋体"/>
          <w:sz w:val="24"/>
          <w:szCs w:val="24"/>
          <w:highlight w:val="none"/>
        </w:rPr>
      </w:r>
      <w:r/>
    </w:p>
    <w:p>
      <w:pPr>
        <w:pStyle w:val="887"/>
        <w:ind w:firstLine="5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投标人应对本项目提供的项目团队人员配备及时间安排制定切实可行的人员配备方案，对本项目提供技术服务方案，包括但不限于楼宇日常管理服务质量控制标准、物业保洁服务质量控制标准、物业消防管理质量控制标准、物业服务项目经理管理质量控制标准等，方案要求细致完整、科学合理、可行性高且措施有力。</w:t>
      </w:r>
      <w:r>
        <w:rPr>
          <w:rFonts w:hint="eastAsia" w:ascii="宋体" w:hAnsi="宋体" w:eastAsia="宋体" w:cs="宋体"/>
          <w:sz w:val="24"/>
          <w:szCs w:val="24"/>
          <w:highlight w:val="none"/>
        </w:rPr>
      </w:r>
      <w:r/>
    </w:p>
    <w:p>
      <w:pPr>
        <w:pStyle w:val="887"/>
        <w:spacing w:line="600" w:lineRule="exact"/>
        <w:rPr>
          <w:rFonts w:hint="eastAsia" w:ascii="宋体" w:hAnsi="宋体" w:eastAsia="宋体" w:cs="宋体"/>
          <w:b w:val="0"/>
          <w:bCs w:val="0"/>
          <w:color w:val="ff0000"/>
          <w:sz w:val="24"/>
          <w:szCs w:val="24"/>
          <w:highlight w:val="none"/>
        </w:rPr>
      </w:pPr>
      <w:r/>
      <w:bookmarkEnd w:id="201"/>
      <w:r>
        <w:rPr>
          <w:rFonts w:hint="eastAsia" w:ascii="宋体" w:hAnsi="宋体" w:eastAsia="宋体" w:cs="宋体"/>
          <w:b w:val="0"/>
          <w:bCs w:val="0"/>
          <w:sz w:val="24"/>
          <w:szCs w:val="24"/>
          <w:highlight w:val="none"/>
          <w:lang w:val="zh-CN"/>
        </w:rPr>
        <w:t xml:space="preserve">七、物业进场、退场交接配合要求</w:t>
      </w:r>
      <w:r>
        <w:rPr>
          <w:rFonts w:hint="eastAsia" w:ascii="宋体" w:hAnsi="宋体" w:eastAsia="宋体" w:cs="宋体"/>
          <w:b w:val="0"/>
          <w:bCs w:val="0"/>
          <w:color w:val="ff0000"/>
          <w:sz w:val="24"/>
          <w:szCs w:val="24"/>
          <w:highlight w:val="none"/>
        </w:rPr>
      </w:r>
      <w:r/>
    </w:p>
    <w:p>
      <w:pPr>
        <w:pStyle w:val="887"/>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保障本校楼宇物业管理与服务项目平稳过渡、无缝衔接，避免新旧物业服务交替期间出现管理真空、服务断档、资料遗失、设施设备损坏、师生投诉等问题，投标人须针对本项目专属情况，编制完整的进场、退场交接配合专项方案，严格响应本项目交接管理要求，方案需完整包含以下核心内容，缺一不可：</w:t>
      </w:r>
      <w:r>
        <w:rPr>
          <w:rFonts w:hint="eastAsia" w:ascii="宋体" w:hAnsi="宋体" w:eastAsia="宋体" w:cs="宋体"/>
          <w:sz w:val="24"/>
          <w:szCs w:val="24"/>
          <w:highlight w:val="none"/>
        </w:rPr>
      </w:r>
      <w:r/>
    </w:p>
    <w:p>
      <w:pPr>
        <w:pStyle w:val="887"/>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1.进场交接流程与交接重难点分析</w:t>
      </w:r>
      <w:r>
        <w:rPr>
          <w:rFonts w:hint="eastAsia" w:ascii="宋体" w:hAnsi="宋体" w:eastAsia="宋体" w:cs="宋体"/>
          <w:sz w:val="24"/>
          <w:szCs w:val="24"/>
          <w:highlight w:val="none"/>
        </w:rPr>
      </w:r>
      <w:r/>
    </w:p>
    <w:p>
      <w:pPr>
        <w:pStyle w:val="887"/>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1.1进场交接流程</w:t>
      </w:r>
      <w:r>
        <w:rPr>
          <w:rFonts w:hint="eastAsia" w:ascii="宋体" w:hAnsi="宋体" w:eastAsia="宋体" w:cs="宋体"/>
          <w:sz w:val="24"/>
          <w:szCs w:val="24"/>
          <w:highlight w:val="none"/>
        </w:rPr>
      </w:r>
      <w:r/>
    </w:p>
    <w:p>
      <w:pPr>
        <w:pStyle w:val="887"/>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需结合楼宇配套物业服务现状、原有服务模式、现场设施设备情况等，制定针对性的进场交接工作流程、时间节点、人员配置、分工职责、工作步骤，明确与上任服务单位、校方管理部门的对接机制、资料移交清单、设施设备查验流程、现场问题核对确认、过渡期联动配合等全套进场交接工作计划，确保顺利承接本项目物业服务工作。</w:t>
      </w:r>
      <w:r>
        <w:rPr>
          <w:rFonts w:hint="eastAsia" w:ascii="宋体" w:hAnsi="宋体" w:eastAsia="宋体" w:cs="宋体"/>
          <w:sz w:val="24"/>
          <w:szCs w:val="24"/>
          <w:highlight w:val="none"/>
        </w:rPr>
      </w:r>
      <w:r/>
    </w:p>
    <w:p>
      <w:pPr>
        <w:pStyle w:val="956"/>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1.2进场交接重难点分析</w:t>
      </w:r>
      <w:r>
        <w:rPr>
          <w:rFonts w:hint="eastAsia" w:ascii="宋体" w:hAnsi="宋体" w:eastAsia="宋体" w:cs="宋体"/>
          <w:sz w:val="24"/>
          <w:szCs w:val="24"/>
          <w:highlight w:val="none"/>
        </w:rPr>
      </w:r>
      <w:r/>
    </w:p>
    <w:p>
      <w:pPr>
        <w:pStyle w:val="887"/>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需精准研判本楼宇物业管理与服务项目进场交接全过程中的重点、难点、风险点（包含但不限于楼宇管理衔接、公共设施设备交接隐患、服务资料缺失、新旧人员工作衔接、突发问题处置等），针对每一项重难点问题，制定科学可行、贴合本项目实际的应对措施、处置流程、应急预案及保障手段，确保交接过程零事故、零断档。</w:t>
      </w:r>
      <w:r>
        <w:rPr>
          <w:rFonts w:hint="eastAsia" w:ascii="宋体" w:hAnsi="宋体" w:eastAsia="宋体" w:cs="宋体"/>
          <w:sz w:val="24"/>
          <w:szCs w:val="24"/>
          <w:highlight w:val="none"/>
        </w:rPr>
      </w:r>
      <w:r/>
    </w:p>
    <w:p>
      <w:pPr>
        <w:pStyle w:val="887"/>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2.退场交接流程与交接重难点分析</w:t>
      </w:r>
      <w:r>
        <w:rPr>
          <w:rFonts w:hint="eastAsia" w:ascii="宋体" w:hAnsi="宋体" w:eastAsia="宋体" w:cs="宋体"/>
          <w:sz w:val="24"/>
          <w:szCs w:val="24"/>
          <w:highlight w:val="none"/>
        </w:rPr>
      </w:r>
      <w:r/>
    </w:p>
    <w:p>
      <w:pPr>
        <w:pStyle w:val="887"/>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2.1退场交接流程</w:t>
      </w:r>
      <w:r>
        <w:rPr>
          <w:rFonts w:hint="eastAsia" w:ascii="宋体" w:hAnsi="宋体" w:eastAsia="宋体" w:cs="宋体"/>
          <w:sz w:val="24"/>
          <w:szCs w:val="24"/>
          <w:highlight w:val="none"/>
        </w:rPr>
      </w:r>
      <w:r/>
    </w:p>
    <w:p>
      <w:pPr>
        <w:pStyle w:val="887"/>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需结合本项目服务范围、服务内容、项目管理标准、校方交接管理规定，制定专属本项目的退场交接工作流程、阶段性工作安排、交接时限要求、人员值守安排，明确与下任服务单位、校方的对接方式，包含服务资料归档移交、设施设备现状交接、现场工作收尾、过渡期配合值守等完整退场交接计划，保障项目到期退场平稳有序。</w:t>
      </w:r>
      <w:r>
        <w:rPr>
          <w:rFonts w:hint="eastAsia" w:ascii="宋体" w:hAnsi="宋体" w:eastAsia="宋体" w:cs="宋体"/>
          <w:sz w:val="24"/>
          <w:szCs w:val="24"/>
          <w:highlight w:val="none"/>
        </w:rPr>
      </w:r>
      <w:r/>
    </w:p>
    <w:p>
      <w:pPr>
        <w:pStyle w:val="887"/>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2.2退场交接重难点分析</w:t>
      </w:r>
      <w:r>
        <w:rPr>
          <w:rFonts w:hint="eastAsia" w:ascii="宋体" w:hAnsi="宋体" w:eastAsia="宋体" w:cs="宋体"/>
          <w:sz w:val="24"/>
          <w:szCs w:val="24"/>
          <w:highlight w:val="none"/>
        </w:rPr>
      </w:r>
      <w:r/>
    </w:p>
    <w:p>
      <w:pPr>
        <w:pStyle w:val="887"/>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需精准研判本楼宇物业管理与服务项目退场交接全过程中的重点、难点、风险点（包含但不限于楼宇管理衔接、公共设施设备交接隐患、服务资料缺失、新旧人员工作衔接、突发问题处置等），针对每一项重难点问题，制定科学可行、贴合本项目实际的应对措施、处置流程、应急预案及保障手段，确保交接过程零事故、零断档。</w:t>
      </w:r>
      <w:r>
        <w:rPr>
          <w:rFonts w:hint="eastAsia" w:ascii="宋体" w:hAnsi="宋体" w:eastAsia="宋体" w:cs="宋体"/>
          <w:sz w:val="24"/>
          <w:szCs w:val="24"/>
          <w:highlight w:val="none"/>
        </w:rPr>
      </w:r>
      <w:r/>
    </w:p>
    <w:p>
      <w:pPr>
        <w:pStyle w:val="887"/>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所有交接方案内容须专门针对本项目编制，贴合本项目采购需求及楼宇物业管理与服务场景特点，不得套用通用模板、通用物业服务交接方案。</w:t>
      </w:r>
      <w:r>
        <w:rPr>
          <w:rFonts w:hint="eastAsia" w:ascii="宋体" w:hAnsi="宋体" w:eastAsia="宋体" w:cs="宋体"/>
          <w:sz w:val="24"/>
          <w:szCs w:val="24"/>
          <w:highlight w:val="none"/>
        </w:rPr>
      </w:r>
      <w:r/>
    </w:p>
    <w:p>
      <w:pPr>
        <w:pStyle w:val="887"/>
        <w:ind w:firstLine="562"/>
        <w:spacing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四、商务要求</w:t>
      </w:r>
      <w:r>
        <w:rPr>
          <w:rFonts w:hint="eastAsia" w:ascii="宋体" w:hAnsi="宋体" w:eastAsia="宋体" w:cs="宋体"/>
          <w:b/>
          <w:bCs w:val="0"/>
          <w:sz w:val="28"/>
          <w:szCs w:val="28"/>
        </w:rPr>
      </w:r>
      <w:r/>
    </w:p>
    <w:p>
      <w:pPr>
        <w:pStyle w:val="887"/>
        <w:ind w:firstLine="480"/>
        <w:spacing w:line="560" w:lineRule="exact"/>
        <w:rPr>
          <w:rFonts w:hint="eastAsia" w:ascii="宋体" w:hAnsi="宋体" w:eastAsia="宋体" w:cs="宋体"/>
          <w:b/>
          <w:bCs/>
          <w:sz w:val="24"/>
          <w:szCs w:val="24"/>
        </w:rPr>
      </w:pPr>
      <w:r>
        <w:rPr>
          <w:rFonts w:hint="eastAsia" w:ascii="宋体" w:hAnsi="宋体" w:eastAsia="宋体" w:cs="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rPr>
          <w:rFonts w:hint="eastAsia" w:ascii="宋体" w:hAnsi="宋体" w:eastAsia="宋体" w:cs="宋体"/>
          <w:b/>
          <w:bCs/>
          <w:sz w:val="24"/>
          <w:szCs w:val="24"/>
        </w:rPr>
      </w:r>
      <w:r/>
    </w:p>
    <w:p>
      <w:pPr>
        <w:pStyle w:val="887"/>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本合同期内服务费投标报价时应考虑所有可能影响到报价的价格因素，</w:t>
      </w:r>
      <w:r>
        <w:rPr>
          <w:rFonts w:hint="eastAsia" w:ascii="宋体" w:hAnsi="宋体" w:eastAsia="宋体" w:cs="宋体"/>
          <w:b/>
          <w:bCs w:val="0"/>
          <w:color w:val="000000"/>
          <w:sz w:val="24"/>
          <w:szCs w:val="24"/>
        </w:rPr>
        <w:t xml:space="preserve">人员工资不得低于扬州市最低工资标准（不得将任何福利等算进工资），</w:t>
      </w:r>
      <w:r>
        <w:rPr>
          <w:rFonts w:hint="eastAsia" w:ascii="宋体" w:hAnsi="宋体" w:eastAsia="宋体" w:cs="宋体"/>
          <w:bCs/>
          <w:color w:val="000000"/>
          <w:sz w:val="24"/>
          <w:szCs w:val="24"/>
        </w:rPr>
        <w:t xml:space="preserve">一旦投标最终成交，总价将包定，合同期内不予调整。如遇国家出台提高扬州市最低工资和最低社会保险缴纳基数标准规定，物业费也不予调整。中标价款包含中标方人员费用（工资、福利、意外伤害险、培训、体检、社会保险、公积金、加班费等）、税收（税金）等，以及所有中标方提供约定产品和服务的报酬及所有支出的必要费用，招标方在中标价款之外不再向中标方支付其他任何费用。</w:t>
      </w:r>
      <w:r>
        <w:rPr>
          <w:rFonts w:hint="eastAsia" w:ascii="宋体" w:hAnsi="宋体" w:eastAsia="宋体" w:cs="宋体"/>
          <w:bCs/>
          <w:color w:val="000000"/>
          <w:sz w:val="24"/>
          <w:szCs w:val="24"/>
        </w:rPr>
      </w:r>
      <w:r/>
    </w:p>
    <w:p>
      <w:pPr>
        <w:pStyle w:val="887"/>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报价应包括所有的费用：人员工资并充分考虑在服务期间国家对人员工资的调整因素和自然增长因素，法定的五项社会保险和福利费、降温费、法定节假日加班费、服装费、维修材料费、易耗材费(保洁用品和办公用品)、法定税费、管理费、办公费和本项目拟派服务人员病重或因公致伤、残、死亡时发生的全部费用等，为完成采购文件规定的服务工作所涉及到的一切相关费用，如缺项（除人员工资、社保），视为让利。</w:t>
      </w:r>
      <w:r>
        <w:rPr>
          <w:rFonts w:hint="eastAsia" w:ascii="宋体" w:hAnsi="宋体" w:eastAsia="宋体" w:cs="宋体"/>
          <w:bCs/>
          <w:color w:val="000000"/>
          <w:sz w:val="24"/>
          <w:szCs w:val="24"/>
        </w:rPr>
      </w:r>
      <w:r/>
    </w:p>
    <w:p>
      <w:pPr>
        <w:pStyle w:val="887"/>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投标方为分包1投入的人员不得少于30人，分包2投入的人员不得少于32人。其中，项目经理、综合维修工、分包1中2名会务保洁员的社会保险必须全员全额缴纳。项目经理，综合维修工，分包1中2名会务保洁不超过法定退休年龄。否则为无效投标文件。保洁员允许聘任退休人员。经往年测算，分包1日常维修耗材费用约在8-9万元/年，易耗品（服装费、保洁用品、办公用品）4-5万元/年;分包2日常维修耗材费用约在8-9万元/年，易耗品（服装费、保洁用品、办公用品）约4-5万元/年。</w:t>
      </w:r>
      <w:r>
        <w:rPr>
          <w:rFonts w:hint="eastAsia" w:ascii="宋体" w:hAnsi="宋体" w:eastAsia="宋体" w:cs="宋体"/>
          <w:bCs/>
          <w:color w:val="000000"/>
          <w:sz w:val="24"/>
          <w:szCs w:val="24"/>
        </w:rPr>
      </w:r>
      <w:r/>
    </w:p>
    <w:p>
      <w:pPr>
        <w:pStyle w:val="887"/>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3.为规范项目管理及保障服务人员职业健康，以确保项目服务质量，投标人具有质量管理体系认证证书，职业健康安全管理认证证书优先。</w:t>
      </w:r>
      <w:r>
        <w:rPr>
          <w:rFonts w:hint="eastAsia" w:ascii="宋体" w:hAnsi="宋体" w:eastAsia="宋体" w:cs="宋体"/>
          <w:bCs/>
          <w:color w:val="000000"/>
          <w:sz w:val="24"/>
          <w:szCs w:val="24"/>
        </w:rPr>
      </w:r>
      <w:r/>
    </w:p>
    <w:p>
      <w:pPr>
        <w:pStyle w:val="887"/>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4.2023年1月1日以来，投标人具有与本项目类似的非住宅物业管理项目的业绩，提供的业绩具有被服务单位对物业服务满意或优秀或同等级的评价证明。</w:t>
      </w:r>
      <w:r>
        <w:rPr>
          <w:rFonts w:hint="eastAsia" w:ascii="宋体" w:hAnsi="宋体" w:eastAsia="宋体" w:cs="宋体"/>
          <w:bCs/>
          <w:color w:val="000000"/>
          <w:sz w:val="24"/>
          <w:szCs w:val="24"/>
        </w:rPr>
      </w:r>
      <w:r/>
    </w:p>
    <w:p>
      <w:pPr>
        <w:pStyle w:val="887"/>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为促进员工权益保障，保证员工人员稳定，促进项目规范服务，投标人在员工劳动保障类或劳动关系类获得行政主管部门认可的或投标人管理的非住宅类物业服务项目获得过行业主管部门示范物业管理项目的优先。</w:t>
      </w:r>
      <w:r>
        <w:rPr>
          <w:rFonts w:hint="eastAsia" w:ascii="宋体" w:hAnsi="宋体" w:eastAsia="宋体" w:cs="宋体"/>
          <w:bCs/>
          <w:color w:val="000000"/>
          <w:sz w:val="24"/>
          <w:szCs w:val="24"/>
        </w:rPr>
      </w:r>
      <w:r/>
    </w:p>
    <w:p>
      <w:pPr>
        <w:pStyle w:val="887"/>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6.为促进本项目管理，投标人承诺为本项目投入物业信息化服务软件，并具有客户服务系统、报修系统、接诉办理系统、品质管理系统功能等的优先。</w:t>
      </w:r>
      <w:r>
        <w:rPr>
          <w:rFonts w:hint="eastAsia" w:ascii="宋体" w:hAnsi="宋体" w:eastAsia="宋体" w:cs="宋体"/>
          <w:bCs/>
          <w:color w:val="000000"/>
          <w:sz w:val="24"/>
          <w:szCs w:val="24"/>
        </w:rPr>
      </w:r>
      <w:r/>
    </w:p>
    <w:p>
      <w:pPr>
        <w:pStyle w:val="887"/>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7.投标人需提供承诺书，承诺所有服务质量均不低于《高校物业服务规范》（苏高后协﹝2023﹞27）号的相关要求。</w:t>
      </w:r>
      <w:r>
        <w:rPr>
          <w:rFonts w:hint="eastAsia" w:ascii="宋体" w:hAnsi="宋体" w:eastAsia="宋体" w:cs="宋体"/>
          <w:bCs/>
          <w:color w:val="000000"/>
          <w:sz w:val="24"/>
          <w:szCs w:val="24"/>
        </w:rPr>
      </w:r>
      <w:r/>
    </w:p>
    <w:p>
      <w:pPr>
        <w:pStyle w:val="887"/>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合同履行期限，服务期3年，合同一年一签，首签合同服务满一年考核合格后，续签第二年合同服务，第二年考核合格后，方可续签第三年度合同，如考核不合格，学校可拒绝续签合同，服务终止。物业服务入场时间：分包1：文汇楼、高桥楼、真州楼、大学生活动中心、古津楼、体育馆(含看台)和西体育场,2026年8月10日；分包2：自清楼、维扬楼、文峰楼、华扬楼、芸台楼、文筑馆和东体育场,2026年8月10日。</w:t>
      </w:r>
      <w:r>
        <w:rPr>
          <w:rFonts w:hint="eastAsia" w:ascii="宋体" w:hAnsi="宋体" w:eastAsia="宋体" w:cs="宋体"/>
          <w:bCs/>
          <w:color w:val="000000"/>
          <w:sz w:val="24"/>
          <w:szCs w:val="24"/>
        </w:rPr>
      </w:r>
      <w:r/>
    </w:p>
    <w:p>
      <w:pPr>
        <w:pStyle w:val="887"/>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合同签订，服务开始后，甲乙双方每3个月为一个周期结算服务费用，甲乙双方按考核结果确定实际支付费用，甲方自收到正式发票之日起30日内支付。</w:t>
      </w:r>
      <w:r>
        <w:rPr>
          <w:rFonts w:hint="eastAsia" w:ascii="宋体" w:hAnsi="宋体" w:eastAsia="宋体" w:cs="宋体"/>
          <w:bCs/>
          <w:color w:val="000000"/>
          <w:sz w:val="24"/>
          <w:szCs w:val="24"/>
        </w:rPr>
      </w:r>
      <w:r/>
    </w:p>
    <w:p>
      <w:pPr>
        <w:pStyle w:val="887"/>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2"/>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五、其他要求</w:t>
      </w:r>
      <w:r>
        <w:rPr>
          <w:rFonts w:hint="eastAsia" w:ascii="宋体" w:hAnsi="宋体" w:eastAsia="宋体" w:cs="宋体"/>
          <w:b/>
          <w:bCs w:val="0"/>
          <w:sz w:val="28"/>
          <w:szCs w:val="28"/>
        </w:rPr>
      </w:r>
      <w:r/>
    </w:p>
    <w:p>
      <w:pPr>
        <w:pStyle w:val="887"/>
        <w:ind w:firstLine="480"/>
        <w:spacing w:line="560" w:lineRule="exact"/>
        <w:rPr>
          <w:rFonts w:hint="eastAsia" w:ascii="宋体" w:hAnsi="宋体"/>
          <w:sz w:val="24"/>
        </w:rPr>
      </w:pPr>
      <w:r>
        <w:rPr>
          <w:rFonts w:hint="eastAsia" w:ascii="宋体" w:hAnsi="宋体" w:eastAsia="宋体" w:cs="宋体"/>
          <w:bCs/>
          <w:color w:val="000000"/>
          <w:sz w:val="24"/>
          <w:szCs w:val="24"/>
        </w:rPr>
        <w:t xml:space="preserve">1.项目属性:服务类项目。</w:t>
      </w:r>
      <w:r>
        <w:rPr>
          <w:rFonts w:hint="eastAsia" w:ascii="宋体" w:hAnsi="宋体"/>
          <w:sz w:val="24"/>
        </w:rPr>
      </w:r>
      <w:r/>
    </w:p>
    <w:p>
      <w:pPr>
        <w:pStyle w:val="887"/>
        <w:ind w:firstLine="602"/>
        <w:rPr>
          <w:rFonts w:hint="eastAsia"/>
          <w:b/>
          <w:i/>
          <w:sz w:val="30"/>
          <w:szCs w:val="32"/>
          <w:u w:val="single"/>
        </w:rPr>
      </w:pPr>
      <w:r>
        <w:rPr>
          <w:rFonts w:hint="eastAsia"/>
          <w:b/>
          <w:i/>
          <w:sz w:val="30"/>
          <w:szCs w:val="32"/>
          <w:u w:val="single"/>
        </w:rPr>
      </w:r>
      <w:r/>
    </w:p>
    <w:p>
      <w:pPr>
        <w:pStyle w:val="887"/>
        <w:rPr>
          <w:rFonts w:hint="eastAsia"/>
        </w:rPr>
      </w:pPr>
      <w:r/>
      <w:bookmarkStart w:id="202" w:name="_Toc120614281"/>
      <w:r>
        <w:rPr>
          <w:rFonts w:hint="eastAsia"/>
        </w:rPr>
      </w:r>
      <w:r/>
    </w:p>
    <w:p>
      <w:pPr>
        <w:pStyle w:val="888"/>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1000"/>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87"/>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887"/>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87"/>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87"/>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87"/>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87"/>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r>
        <w:trPr/>
        <w:tc>
          <w:tcPr>
            <w:tcW w:w="1148" w:type="dxa"/>
            <w:vAlign w:val="top"/>
            <w:textDirection w:val="lrTb"/>
            <w:noWrap w:val="false"/>
          </w:tcPr>
          <w:p>
            <w:pPr>
              <w:pStyle w:val="887"/>
              <w:jc w:val="center"/>
              <w:rPr>
                <w:rFonts w:hint="eastAsia" w:ascii="宋体" w:hAnsi="宋体" w:eastAsia="宋体"/>
                <w:lang w:eastAsia="zh-CN"/>
              </w:rPr>
            </w:pPr>
            <w:r>
              <w:rPr>
                <w:rFonts w:hint="eastAsia" w:ascii="宋体" w:hAnsi="宋体"/>
                <w:lang w:val="en-US" w:eastAsia="zh-CN"/>
              </w:rPr>
              <w:t xml:space="preserve">2</w:t>
            </w:r>
            <w:r>
              <w:rPr>
                <w:rFonts w:hint="eastAsia" w:ascii="宋体" w:hAnsi="宋体" w:eastAsia="宋体"/>
                <w:lang w:eastAsia="zh-CN"/>
              </w:rPr>
            </w:r>
            <w:r/>
          </w:p>
        </w:tc>
        <w:tc>
          <w:tcPr>
            <w:tcW w:w="1610" w:type="dxa"/>
            <w:vAlign w:val="top"/>
            <w:textDirection w:val="lrTb"/>
            <w:noWrap w:val="false"/>
          </w:tcPr>
          <w:p>
            <w:pPr>
              <w:pStyle w:val="887"/>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87"/>
              <w:jc w:val="left"/>
              <w:rPr>
                <w:rFonts w:ascii="宋体" w:hAnsi="宋体"/>
              </w:rPr>
            </w:pPr>
            <w:r>
              <w:rPr>
                <w:rFonts w:hint="eastAsia" w:ascii="宋体" w:hAnsi="宋体"/>
              </w:rPr>
              <w:t xml:space="preserve">满足招标文件全部实质性要求，且按照评审因素的量化指标评审得分最高的投标人为中标候选人。</w:t>
            </w:r>
            <w:r>
              <w:rPr>
                <w:rFonts w:ascii="宋体" w:hAnsi="宋体"/>
              </w:rPr>
            </w:r>
            <w:r/>
          </w:p>
        </w:tc>
      </w:tr>
    </w:tbl>
    <w:p>
      <w:pPr>
        <w:pStyle w:val="1000"/>
        <w:ind w:firstLine="439"/>
        <w:spacing w:line="0" w:lineRule="atLeast"/>
        <w:rPr>
          <w:rFonts w:hint="eastAsia" w:cs="Arial"/>
        </w:rPr>
      </w:pPr>
      <w:r>
        <w:rPr>
          <w:rFonts w:hint="eastAsia" w:cs="Arial"/>
        </w:rPr>
      </w:r>
      <w:r/>
    </w:p>
    <w:p>
      <w:pPr>
        <w:pStyle w:val="1000"/>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00"/>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1000"/>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1000"/>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rPr>
          <w:rFonts w:hint="eastAsia" w:ascii="宋体" w:hAnsi="宋体"/>
        </w:rPr>
      </w:r>
      <w:r/>
    </w:p>
    <w:p>
      <w:pPr>
        <w:pStyle w:val="1000"/>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1000"/>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00"/>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00"/>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00"/>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1000"/>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00"/>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1000"/>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000"/>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000"/>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1000"/>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887"/>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7.采购本国产品的支持政策</w:t>
      </w:r>
      <w:r>
        <w:rPr>
          <w:rFonts w:hint="eastAsia" w:ascii="宋体" w:hAnsi="宋体"/>
          <w:sz w:val="24"/>
          <w:szCs w:val="24"/>
          <w:lang w:val="en-US" w:eastAsia="zh-CN" w:bidi="ar-SA"/>
        </w:rPr>
      </w:r>
      <w:r/>
    </w:p>
    <w:p>
      <w:pPr>
        <w:pStyle w:val="887"/>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sz w:val="24"/>
          <w:szCs w:val="24"/>
          <w:lang w:val="en-US" w:eastAsia="zh-CN" w:bidi="ar-SA"/>
        </w:rPr>
      </w:r>
      <w:r/>
    </w:p>
    <w:p>
      <w:pPr>
        <w:pStyle w:val="887"/>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7.2 供应商需按照招标文件的要求提供《关于符合本国产品标准的声明函》（以下简称《声明函》），如不提供将不享受本国产品价格评审优惠。</w:t>
      </w:r>
      <w:r>
        <w:rPr>
          <w:rFonts w:hint="eastAsia" w:ascii="宋体" w:hAnsi="宋体"/>
          <w:sz w:val="24"/>
          <w:szCs w:val="24"/>
          <w:lang w:val="en-US" w:eastAsia="zh-CN" w:bidi="ar-SA"/>
        </w:rPr>
      </w:r>
      <w:r/>
    </w:p>
    <w:p>
      <w:pPr>
        <w:pStyle w:val="887"/>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sz w:val="24"/>
          <w:szCs w:val="24"/>
          <w:lang w:val="en-US" w:eastAsia="zh-CN" w:bidi="ar-SA"/>
        </w:rPr>
      </w:r>
      <w:r/>
    </w:p>
    <w:p>
      <w:pPr>
        <w:pStyle w:val="887"/>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sz w:val="24"/>
          <w:szCs w:val="24"/>
          <w:lang w:val="en-US" w:eastAsia="zh-CN" w:bidi="ar-SA"/>
        </w:rPr>
      </w:r>
      <w:r/>
    </w:p>
    <w:p>
      <w:pPr>
        <w:pStyle w:val="1000"/>
        <w:spacing w:line="400" w:lineRule="exact"/>
        <w:rPr>
          <w:rFonts w:hint="eastAsia" w:ascii="宋体" w:hAnsi="宋体"/>
        </w:rPr>
      </w:pPr>
      <w:r>
        <w:rPr>
          <w:rFonts w:hint="eastAsia" w:ascii="宋体" w:hAnsi="宋体"/>
        </w:rPr>
      </w:r>
      <w:r/>
    </w:p>
    <w:p>
      <w:pPr>
        <w:pStyle w:val="1000"/>
        <w:ind w:firstLine="482"/>
        <w:spacing w:line="0" w:lineRule="atLeast"/>
        <w:rPr>
          <w:rFonts w:hint="eastAsia" w:ascii="宋体" w:hAnsi="宋体"/>
          <w:b/>
        </w:rPr>
      </w:pPr>
      <w:r>
        <w:rPr>
          <w:rFonts w:hint="eastAsia" w:ascii="宋体" w:hAnsi="宋体"/>
          <w:b/>
        </w:rPr>
        <w:t xml:space="preserve">评标方法与评标标准</w:t>
      </w:r>
      <w:r>
        <w:rPr>
          <w:rFonts w:hint="eastAsia" w:ascii="宋体" w:hAnsi="宋体"/>
          <w:b/>
        </w:rPr>
      </w:r>
      <w:r/>
    </w:p>
    <w:p>
      <w:pPr>
        <w:pStyle w:val="1000"/>
        <w:ind w:firstLine="482"/>
        <w:spacing w:line="0" w:lineRule="atLeast"/>
        <w:rPr>
          <w:rFonts w:hint="eastAsia" w:ascii="宋体" w:hAnsi="宋体" w:eastAsia="宋体"/>
          <w:b/>
          <w:highlight w:val="yellow"/>
          <w:lang w:eastAsia="zh-CN"/>
        </w:rPr>
      </w:pPr>
      <w:r>
        <w:rPr>
          <w:rFonts w:hint="eastAsia" w:ascii="宋体" w:hAnsi="宋体"/>
          <w:b/>
          <w:lang w:eastAsia="zh-CN"/>
        </w:rPr>
        <w:t xml:space="preserve">（</w:t>
      </w:r>
      <w:r>
        <w:rPr>
          <w:rFonts w:hint="eastAsia" w:ascii="宋体" w:hAnsi="宋体"/>
          <w:b/>
          <w:lang w:val="en-US" w:eastAsia="zh-CN"/>
        </w:rPr>
        <w:t xml:space="preserve">分包号1、分包号2均使用该标准</w:t>
      </w:r>
      <w:r>
        <w:rPr>
          <w:rFonts w:hint="eastAsia" w:ascii="宋体" w:hAnsi="宋体"/>
          <w:b/>
          <w:lang w:eastAsia="zh-CN"/>
        </w:rPr>
        <w:t xml:space="preserve">）</w:t>
      </w:r>
      <w:r>
        <w:rPr>
          <w:rFonts w:hint="eastAsia" w:ascii="宋体" w:hAnsi="宋体" w:eastAsia="宋体"/>
          <w:b/>
          <w:highlight w:val="yellow"/>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780"/>
        <w:gridCol w:w="1440"/>
        <w:gridCol w:w="7558"/>
      </w:tblGrid>
      <w:tr>
        <w:trPr>
          <w:trHeight w:val="143"/>
        </w:trPr>
        <w:tc>
          <w:tcPr>
            <w:tcW w:w="742" w:type="dxa"/>
            <w:vAlign w:val="center"/>
            <w:textDirection w:val="lrTb"/>
            <w:noWrap w:val="false"/>
          </w:tcPr>
          <w:p>
            <w:pPr>
              <w:pStyle w:val="887"/>
              <w:jc w:val="left"/>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780" w:type="dxa"/>
            <w:vAlign w:val="center"/>
            <w:textDirection w:val="lrTb"/>
            <w:noWrap w:val="false"/>
          </w:tcPr>
          <w:p>
            <w:pPr>
              <w:pStyle w:val="887"/>
              <w:jc w:val="left"/>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c>
          <w:tcPr>
            <w:tcW w:w="1440" w:type="dxa"/>
            <w:vAlign w:val="center"/>
            <w:textDirection w:val="lrTb"/>
            <w:noWrap w:val="false"/>
          </w:tcPr>
          <w:p>
            <w:pPr>
              <w:pStyle w:val="887"/>
              <w:jc w:val="left"/>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评标项目</w:t>
            </w:r>
            <w:r>
              <w:rPr>
                <w:rFonts w:hint="eastAsia" w:ascii="宋体" w:hAnsi="宋体" w:eastAsia="宋体" w:cs="宋体"/>
                <w:b/>
                <w:sz w:val="24"/>
                <w:szCs w:val="24"/>
              </w:rPr>
            </w:r>
            <w:r/>
          </w:p>
        </w:tc>
        <w:tc>
          <w:tcPr>
            <w:tcW w:w="7558" w:type="dxa"/>
            <w:vAlign w:val="center"/>
            <w:textDirection w:val="lrTb"/>
            <w:noWrap w:val="false"/>
          </w:tcPr>
          <w:p>
            <w:pPr>
              <w:pStyle w:val="887"/>
              <w:ind w:firstLine="355"/>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r>
      <w:tr>
        <w:trPr>
          <w:trHeight w:val="143"/>
        </w:trPr>
        <w:tc>
          <w:tcPr>
            <w:tcW w:w="742" w:type="dxa"/>
            <w:vAlign w:val="center"/>
            <w:textDirection w:val="lrTb"/>
            <w:noWrap w:val="false"/>
          </w:tcPr>
          <w:p>
            <w:pPr>
              <w:pStyle w:val="887"/>
              <w:ind w:firstLine="200"/>
              <w:jc w:val="lef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780" w:type="dxa"/>
            <w:vAlign w:val="center"/>
            <w:textDirection w:val="lrTb"/>
            <w:noWrap w:val="false"/>
          </w:tcPr>
          <w:p>
            <w:pPr>
              <w:pStyle w:val="887"/>
              <w:ind w:firstLine="34"/>
              <w:jc w:val="center"/>
              <w:widowControl/>
              <w:rPr>
                <w:rFonts w:hint="eastAsia" w:ascii="宋体" w:hAnsi="宋体" w:eastAsia="宋体" w:cs="宋体"/>
                <w:sz w:val="24"/>
                <w:szCs w:val="24"/>
              </w:rPr>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1440" w:type="dxa"/>
            <w:vAlign w:val="center"/>
            <w:textDirection w:val="lrTb"/>
            <w:noWrap w:val="false"/>
          </w:tcPr>
          <w:p>
            <w:pPr>
              <w:pStyle w:val="887"/>
              <w:ind w:firstLine="34"/>
              <w:jc w:val="left"/>
              <w:rPr>
                <w:rFonts w:hint="eastAsia" w:ascii="宋体" w:hAnsi="宋体" w:eastAsia="宋体" w:cs="宋体"/>
                <w:sz w:val="24"/>
                <w:szCs w:val="24"/>
              </w:rPr>
            </w:pPr>
            <w:r>
              <w:rPr>
                <w:rFonts w:hint="eastAsia" w:ascii="宋体" w:hAnsi="宋体" w:eastAsia="宋体" w:cs="宋体"/>
                <w:sz w:val="24"/>
                <w:szCs w:val="24"/>
              </w:rPr>
              <w:t xml:space="preserve">投标报价</w:t>
            </w:r>
            <w:r>
              <w:rPr>
                <w:rFonts w:hint="eastAsia" w:ascii="宋体" w:hAnsi="宋体" w:eastAsia="宋体" w:cs="宋体"/>
                <w:sz w:val="24"/>
                <w:szCs w:val="24"/>
              </w:rPr>
            </w:r>
            <w:r/>
          </w:p>
        </w:tc>
        <w:tc>
          <w:tcPr>
            <w:tcW w:w="7558" w:type="dxa"/>
            <w:vAlign w:val="center"/>
            <w:textDirection w:val="lrTb"/>
            <w:noWrap w:val="false"/>
          </w:tcPr>
          <w:p>
            <w:pPr>
              <w:pStyle w:val="887"/>
              <w:ind w:firstLine="480"/>
              <w:jc w:val="left"/>
              <w:spacing w:line="360" w:lineRule="exact"/>
              <w:tabs>
                <w:tab w:val="left" w:pos="1200" w:leader="none"/>
              </w:tabs>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采用低价优先法计算，即满足采购文件要求且投标价格最低的投标报价为评标基准价，其价格分为满分。</w:t>
            </w:r>
            <w:r>
              <w:rPr>
                <w:rFonts w:hint="eastAsia" w:ascii="宋体" w:hAnsi="宋体" w:eastAsia="宋体" w:cs="宋体"/>
                <w:sz w:val="24"/>
                <w:szCs w:val="24"/>
              </w:rPr>
            </w:r>
            <w:r/>
          </w:p>
          <w:p>
            <w:pPr>
              <w:pStyle w:val="887"/>
              <w:ind w:firstLine="354"/>
              <w:rPr>
                <w:rFonts w:hint="eastAsia" w:ascii="宋体" w:hAnsi="宋体" w:eastAsia="宋体" w:cs="宋体"/>
                <w:sz w:val="24"/>
                <w:szCs w:val="24"/>
              </w:rPr>
            </w:pPr>
            <w:r>
              <w:rPr>
                <w:rFonts w:hint="eastAsia" w:ascii="宋体" w:hAnsi="宋体" w:eastAsia="宋体" w:cs="宋体"/>
                <w:sz w:val="24"/>
                <w:szCs w:val="24"/>
                <w:lang w:val="zh-CN"/>
              </w:rPr>
              <w:t xml:space="preserve">1.1</w:t>
            </w:r>
            <w:r>
              <w:rPr>
                <w:rFonts w:hint="eastAsia" w:ascii="宋体" w:hAnsi="宋体" w:eastAsia="宋体" w:cs="宋体"/>
                <w:sz w:val="24"/>
                <w:szCs w:val="24"/>
              </w:rPr>
              <w:t xml:space="preserve">其他投标人的价格分统一按照下列公式计算:投标报价得分=（评标基准价/投标报价）×20（小数点保留两位）</w:t>
            </w:r>
            <w:r>
              <w:rPr>
                <w:rFonts w:hint="eastAsia" w:ascii="宋体" w:hAnsi="宋体" w:eastAsia="宋体" w:cs="宋体"/>
                <w:sz w:val="24"/>
                <w:szCs w:val="24"/>
              </w:rPr>
            </w:r>
            <w:r/>
          </w:p>
        </w:tc>
      </w:tr>
      <w:tr>
        <w:trPr>
          <w:trHeight w:val="416"/>
        </w:trPr>
        <w:tc>
          <w:tcPr>
            <w:tcW w:w="742" w:type="dxa"/>
            <w:vAlign w:val="center"/>
            <w:textDirection w:val="lrTb"/>
            <w:noWrap w:val="false"/>
          </w:tcPr>
          <w:p>
            <w:pPr>
              <w:pStyle w:val="887"/>
              <w:ind w:firstLine="20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780" w:type="dxa"/>
            <w:vAlign w:val="center"/>
            <w:textDirection w:val="lrTb"/>
            <w:noWrap w:val="false"/>
          </w:tcPr>
          <w:p>
            <w:pPr>
              <w:pStyle w:val="887"/>
              <w:ind w:firstLine="3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rPr>
            </w:r>
            <w:r/>
          </w:p>
        </w:tc>
        <w:tc>
          <w:tcPr>
            <w:tcW w:w="1440" w:type="dxa"/>
            <w:vAlign w:val="center"/>
            <w:textDirection w:val="lrTb"/>
            <w:noWrap w:val="false"/>
          </w:tcPr>
          <w:p>
            <w:pPr>
              <w:pStyle w:val="887"/>
              <w:ind w:firstLine="34"/>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技术服务方案</w:t>
            </w:r>
            <w:r>
              <w:rPr>
                <w:rFonts w:hint="eastAsia" w:ascii="宋体" w:hAnsi="宋体" w:eastAsia="宋体" w:cs="宋体"/>
                <w:sz w:val="24"/>
                <w:szCs w:val="24"/>
                <w:highlight w:val="none"/>
              </w:rPr>
            </w:r>
            <w:r/>
          </w:p>
        </w:tc>
        <w:tc>
          <w:tcPr>
            <w:tcW w:w="7558" w:type="dxa"/>
            <w:vAlign w:val="center"/>
            <w:textDirection w:val="lrTb"/>
            <w:noWrap w:val="false"/>
          </w:tcPr>
          <w:p>
            <w:pPr>
              <w:pStyle w:val="887"/>
              <w:ind w:firstLine="240"/>
              <w:spacing w:line="600" w:lineRule="exact"/>
              <w:rPr>
                <w:rFonts w:hint="eastAsia" w:ascii="宋体" w:hAnsi="宋体" w:eastAsia="宋体" w:cs="宋体"/>
                <w:color w:val="ff0000"/>
                <w:sz w:val="24"/>
                <w:szCs w:val="24"/>
                <w:highlight w:val="none"/>
                <w:lang w:val="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.1 本项目的安全保障管理。评委根据投标文件对招标文件第四章“</w:t>
            </w: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val="zh-CN"/>
              </w:rPr>
              <w:t xml:space="preserve">”中“安全保障管理”要求的响应方案进行评审。</w:t>
            </w:r>
            <w:r>
              <w:rPr>
                <w:rFonts w:hint="eastAsia" w:ascii="宋体" w:hAnsi="宋体" w:eastAsia="宋体" w:cs="宋体"/>
                <w:color w:val="ff0000"/>
                <w:sz w:val="24"/>
                <w:szCs w:val="24"/>
                <w:highlight w:val="none"/>
                <w:lang w:val="zh-CN"/>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（1）投标文件未符合</w:t>
            </w:r>
            <w:r>
              <w:rPr>
                <w:rFonts w:hint="eastAsia" w:ascii="宋体" w:hAnsi="宋体" w:eastAsia="宋体" w:cs="宋体"/>
                <w:sz w:val="24"/>
                <w:szCs w:val="24"/>
                <w:highlight w:val="none"/>
                <w:lang w:val="zh-CN"/>
              </w:rPr>
              <w:t xml:space="preserve">“安全保障管理”中全部条款要求的，视为不符合招标文件，本项得0分。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（2）投标文件符合“</w:t>
            </w:r>
            <w:r>
              <w:rPr>
                <w:rFonts w:hint="eastAsia" w:ascii="宋体" w:hAnsi="宋体" w:eastAsia="宋体" w:cs="宋体"/>
                <w:sz w:val="24"/>
                <w:szCs w:val="24"/>
                <w:highlight w:val="none"/>
                <w:lang w:val="zh-CN"/>
              </w:rPr>
              <w:t xml:space="preserve">安全保障管理</w:t>
            </w:r>
            <w:r>
              <w:rPr>
                <w:rFonts w:hint="eastAsia" w:ascii="宋体" w:hAnsi="宋体" w:eastAsia="宋体" w:cs="宋体"/>
                <w:sz w:val="24"/>
                <w:szCs w:val="24"/>
                <w:highlight w:val="none"/>
              </w:rPr>
              <w:t xml:space="preserve">”中全部条款要求的，视为符合招标文件，本项得</w:t>
            </w: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（3）投标文件对“安全保障管理”中10项要求的响应内容全部优于招标文件要求的（前提是投标文件对“安全保障管理”中除10项以外其他要求响应内容符合招标文件要求），本项得</w:t>
            </w:r>
            <w:r>
              <w:rPr>
                <w:rFonts w:hint="eastAsia" w:ascii="宋体" w:hAnsi="宋体" w:eastAsia="宋体" w:cs="宋体"/>
                <w:sz w:val="24"/>
                <w:szCs w:val="24"/>
                <w:highlight w:val="none"/>
                <w:lang w:val="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2.2 </w:t>
            </w:r>
            <w:r>
              <w:rPr>
                <w:rFonts w:hint="eastAsia" w:ascii="宋体" w:hAnsi="宋体" w:eastAsia="宋体" w:cs="宋体"/>
                <w:sz w:val="24"/>
                <w:szCs w:val="24"/>
                <w:highlight w:val="none"/>
              </w:rPr>
              <w:t xml:space="preserve">本项目的公共环境卫生。评委</w:t>
            </w:r>
            <w:r>
              <w:rPr>
                <w:rFonts w:hint="eastAsia" w:ascii="宋体" w:hAnsi="宋体" w:eastAsia="宋体" w:cs="宋体"/>
                <w:sz w:val="24"/>
                <w:szCs w:val="24"/>
                <w:highlight w:val="none"/>
                <w:lang w:val="zh-CN"/>
              </w:rPr>
              <w:t xml:space="preserve">根据投标文件对招标文件第四章“</w:t>
            </w: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val="zh-CN"/>
              </w:rPr>
              <w:t xml:space="preserve">”中“公共环境卫生”要求的响应方案进行评审。</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（1）投标文件未符合“</w:t>
            </w:r>
            <w:r>
              <w:rPr>
                <w:rFonts w:hint="eastAsia" w:ascii="宋体" w:hAnsi="宋体" w:eastAsia="宋体" w:cs="宋体"/>
                <w:sz w:val="24"/>
                <w:szCs w:val="24"/>
                <w:highlight w:val="none"/>
                <w:lang w:val="zh-CN"/>
              </w:rPr>
              <w:t xml:space="preserve">公共环境卫生</w:t>
            </w:r>
            <w:r>
              <w:rPr>
                <w:rFonts w:hint="eastAsia" w:ascii="宋体" w:hAnsi="宋体" w:eastAsia="宋体" w:cs="宋体"/>
                <w:sz w:val="24"/>
                <w:szCs w:val="24"/>
                <w:highlight w:val="none"/>
              </w:rPr>
              <w:t xml:space="preserve">”中全部条款要求的，视为不符合招标文件，本项得</w:t>
            </w:r>
            <w:r>
              <w:rPr>
                <w:rFonts w:hint="eastAsia" w:ascii="宋体" w:hAnsi="宋体" w:eastAsia="宋体" w:cs="宋体"/>
                <w:sz w:val="24"/>
                <w:szCs w:val="24"/>
                <w:highlight w:val="none"/>
                <w:lang w:val="zh-CN"/>
              </w:rPr>
              <w:t xml:space="preserve">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（2）投标文件符合“</w:t>
            </w:r>
            <w:r>
              <w:rPr>
                <w:rFonts w:hint="eastAsia" w:ascii="宋体" w:hAnsi="宋体" w:eastAsia="宋体" w:cs="宋体"/>
                <w:sz w:val="24"/>
                <w:szCs w:val="24"/>
                <w:highlight w:val="none"/>
                <w:lang w:val="zh-CN"/>
              </w:rPr>
              <w:t xml:space="preserve">公共环境卫生</w:t>
            </w:r>
            <w:r>
              <w:rPr>
                <w:rFonts w:hint="eastAsia" w:ascii="宋体" w:hAnsi="宋体" w:eastAsia="宋体" w:cs="宋体"/>
                <w:sz w:val="24"/>
                <w:szCs w:val="24"/>
                <w:highlight w:val="none"/>
              </w:rPr>
              <w:t xml:space="preserve">”中全部条款要求的，视为符合招标文件，本项得</w:t>
            </w: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（3）投标文件对“</w:t>
            </w:r>
            <w:r>
              <w:rPr>
                <w:rFonts w:hint="eastAsia" w:ascii="宋体" w:hAnsi="宋体" w:eastAsia="宋体" w:cs="宋体"/>
                <w:sz w:val="24"/>
                <w:szCs w:val="24"/>
                <w:highlight w:val="none"/>
                <w:lang w:val="zh-CN"/>
              </w:rPr>
              <w:t xml:space="preserve">公共环境卫生</w:t>
            </w:r>
            <w:r>
              <w:rPr>
                <w:rFonts w:hint="eastAsia" w:ascii="宋体" w:hAnsi="宋体" w:eastAsia="宋体" w:cs="宋体"/>
                <w:sz w:val="24"/>
                <w:szCs w:val="24"/>
                <w:highlight w:val="none"/>
              </w:rPr>
              <w:t xml:space="preserve">”中7项要求的响应内容全部优于招标文件要求的（前提是投标文件对“</w:t>
            </w:r>
            <w:r>
              <w:rPr>
                <w:rFonts w:hint="eastAsia" w:ascii="宋体" w:hAnsi="宋体" w:eastAsia="宋体" w:cs="宋体"/>
                <w:sz w:val="24"/>
                <w:szCs w:val="24"/>
                <w:highlight w:val="none"/>
                <w:lang w:val="zh-CN"/>
              </w:rPr>
              <w:t xml:space="preserve">公共环境卫生</w:t>
            </w:r>
            <w:r>
              <w:rPr>
                <w:rFonts w:hint="eastAsia" w:ascii="宋体" w:hAnsi="宋体" w:eastAsia="宋体" w:cs="宋体"/>
                <w:sz w:val="24"/>
                <w:szCs w:val="24"/>
                <w:highlight w:val="none"/>
              </w:rPr>
              <w:t xml:space="preserve">”中除7项以外其他要求响应内容符合招标文件要求），本项得</w:t>
            </w:r>
            <w:r>
              <w:rPr>
                <w:rFonts w:hint="eastAsia" w:ascii="宋体" w:hAnsi="宋体" w:eastAsia="宋体" w:cs="宋体"/>
                <w:sz w:val="24"/>
                <w:szCs w:val="24"/>
                <w:highlight w:val="none"/>
                <w:lang w:val="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2.3本项目</w:t>
            </w:r>
            <w:r>
              <w:rPr>
                <w:rFonts w:hint="eastAsia" w:ascii="宋体" w:hAnsi="宋体" w:eastAsia="宋体" w:cs="宋体"/>
                <w:sz w:val="24"/>
                <w:szCs w:val="24"/>
                <w:highlight w:val="none"/>
              </w:rPr>
              <w:t xml:space="preserve">的小型维修与设施维护。评委根据投标文件对招标文件第四章“采购需求”中“</w:t>
            </w:r>
            <w:r>
              <w:rPr>
                <w:rFonts w:hint="eastAsia" w:ascii="宋体" w:hAnsi="宋体" w:eastAsia="宋体" w:cs="宋体"/>
                <w:sz w:val="24"/>
                <w:szCs w:val="24"/>
                <w:highlight w:val="none"/>
                <w:lang w:val="zh-CN"/>
              </w:rPr>
              <w:t xml:space="preserve">小型维修与设施维护”要求的响应方案进行评审。</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（1）投标文件未符合“</w:t>
            </w:r>
            <w:r>
              <w:rPr>
                <w:rFonts w:hint="eastAsia" w:ascii="宋体" w:hAnsi="宋体" w:eastAsia="宋体" w:cs="宋体"/>
                <w:sz w:val="24"/>
                <w:szCs w:val="24"/>
                <w:highlight w:val="none"/>
                <w:lang w:val="zh-CN"/>
              </w:rPr>
              <w:t xml:space="preserve">小型维修与设施维护</w:t>
            </w:r>
            <w:r>
              <w:rPr>
                <w:rFonts w:hint="eastAsia" w:ascii="宋体" w:hAnsi="宋体" w:eastAsia="宋体" w:cs="宋体"/>
                <w:sz w:val="24"/>
                <w:szCs w:val="24"/>
                <w:highlight w:val="none"/>
              </w:rPr>
              <w:t xml:space="preserve">”中全部条款要求的，视为不符合招标文件，本项得</w:t>
            </w:r>
            <w:r>
              <w:rPr>
                <w:rFonts w:hint="eastAsia" w:ascii="宋体" w:hAnsi="宋体" w:eastAsia="宋体" w:cs="宋体"/>
                <w:sz w:val="24"/>
                <w:szCs w:val="24"/>
                <w:highlight w:val="none"/>
                <w:lang w:val="zh-CN"/>
              </w:rPr>
              <w:t xml:space="preserve">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（2）投标文件符合“</w:t>
            </w:r>
            <w:r>
              <w:rPr>
                <w:rFonts w:hint="eastAsia" w:ascii="宋体" w:hAnsi="宋体" w:eastAsia="宋体" w:cs="宋体"/>
                <w:sz w:val="24"/>
                <w:szCs w:val="24"/>
                <w:highlight w:val="none"/>
                <w:lang w:val="zh-CN"/>
              </w:rPr>
              <w:t xml:space="preserve">小型维修与设施维护</w:t>
            </w:r>
            <w:r>
              <w:rPr>
                <w:rFonts w:hint="eastAsia" w:ascii="宋体" w:hAnsi="宋体" w:eastAsia="宋体" w:cs="宋体"/>
                <w:sz w:val="24"/>
                <w:szCs w:val="24"/>
                <w:highlight w:val="none"/>
              </w:rPr>
              <w:t xml:space="preserve">”中全部条款要求的，视为符合招标文件，本项得</w:t>
            </w: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（3）投标文件对“</w:t>
            </w:r>
            <w:r>
              <w:rPr>
                <w:rFonts w:hint="eastAsia" w:ascii="宋体" w:hAnsi="宋体" w:eastAsia="宋体" w:cs="宋体"/>
                <w:sz w:val="24"/>
                <w:szCs w:val="24"/>
                <w:highlight w:val="none"/>
                <w:lang w:val="zh-CN"/>
              </w:rPr>
              <w:t xml:space="preserve">小型维修与设施维护</w:t>
            </w:r>
            <w:r>
              <w:rPr>
                <w:rFonts w:hint="eastAsia" w:ascii="宋体" w:hAnsi="宋体" w:eastAsia="宋体" w:cs="宋体"/>
                <w:sz w:val="24"/>
                <w:szCs w:val="24"/>
                <w:highlight w:val="none"/>
              </w:rPr>
              <w:t xml:space="preserve">”中9项要求的响应内容全部优于招标文件要求的（前提是投标文件对“</w:t>
            </w:r>
            <w:r>
              <w:rPr>
                <w:rFonts w:hint="eastAsia" w:ascii="宋体" w:hAnsi="宋体" w:eastAsia="宋体" w:cs="宋体"/>
                <w:sz w:val="24"/>
                <w:szCs w:val="24"/>
                <w:highlight w:val="none"/>
                <w:lang w:val="zh-CN"/>
              </w:rPr>
              <w:t xml:space="preserve">小型维修与设施维护</w:t>
            </w:r>
            <w:r>
              <w:rPr>
                <w:rFonts w:hint="eastAsia" w:ascii="宋体" w:hAnsi="宋体" w:eastAsia="宋体" w:cs="宋体"/>
                <w:sz w:val="24"/>
                <w:szCs w:val="24"/>
                <w:highlight w:val="none"/>
              </w:rPr>
              <w:t xml:space="preserve">”中除9项以外其他要求响应内容符合招标文件要求。请投标人充分考虑报价分项中维修费情况，维修费用为包死价格，中标后不予调整），本项得</w:t>
            </w:r>
            <w:r>
              <w:rPr>
                <w:rFonts w:hint="eastAsia" w:ascii="宋体" w:hAnsi="宋体" w:eastAsia="宋体" w:cs="宋体"/>
                <w:sz w:val="24"/>
                <w:szCs w:val="24"/>
                <w:highlight w:val="none"/>
                <w:lang w:val="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2.4本项目的内部管理。评委根据投标文件对招标文件第四章“</w:t>
            </w: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val="zh-CN"/>
              </w:rPr>
              <w:t xml:space="preserve">”中“内部管理”要求的响应方案进行评审。</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（1）投标文件未符合“</w:t>
            </w:r>
            <w:r>
              <w:rPr>
                <w:rFonts w:hint="eastAsia" w:ascii="宋体" w:hAnsi="宋体" w:eastAsia="宋体" w:cs="宋体"/>
                <w:sz w:val="24"/>
                <w:szCs w:val="24"/>
                <w:highlight w:val="none"/>
                <w:lang w:val="zh-CN"/>
              </w:rPr>
              <w:t xml:space="preserve">内部管理</w:t>
            </w:r>
            <w:r>
              <w:rPr>
                <w:rFonts w:hint="eastAsia" w:ascii="宋体" w:hAnsi="宋体" w:eastAsia="宋体" w:cs="宋体"/>
                <w:sz w:val="24"/>
                <w:szCs w:val="24"/>
                <w:highlight w:val="none"/>
              </w:rPr>
              <w:t xml:space="preserve">”中全部条款要求的，视为不符合招标文件，本项得</w:t>
            </w:r>
            <w:r>
              <w:rPr>
                <w:rFonts w:hint="eastAsia" w:ascii="宋体" w:hAnsi="宋体" w:eastAsia="宋体" w:cs="宋体"/>
                <w:sz w:val="24"/>
                <w:szCs w:val="24"/>
                <w:highlight w:val="none"/>
                <w:lang w:val="zh-CN"/>
              </w:rPr>
              <w:t xml:space="preserve">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（2）投标文件符合“</w:t>
            </w:r>
            <w:r>
              <w:rPr>
                <w:rFonts w:hint="eastAsia" w:ascii="宋体" w:hAnsi="宋体" w:eastAsia="宋体" w:cs="宋体"/>
                <w:sz w:val="24"/>
                <w:szCs w:val="24"/>
                <w:highlight w:val="none"/>
                <w:lang w:val="zh-CN"/>
              </w:rPr>
              <w:t xml:space="preserve">内部管理</w:t>
            </w:r>
            <w:r>
              <w:rPr>
                <w:rFonts w:hint="eastAsia" w:ascii="宋体" w:hAnsi="宋体" w:eastAsia="宋体" w:cs="宋体"/>
                <w:sz w:val="24"/>
                <w:szCs w:val="24"/>
                <w:highlight w:val="none"/>
              </w:rPr>
              <w:t xml:space="preserve">”中全部条款要求的，视为符合招标文件，本项得</w:t>
            </w: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（3）投标文件对“</w:t>
            </w:r>
            <w:r>
              <w:rPr>
                <w:rFonts w:hint="eastAsia" w:ascii="宋体" w:hAnsi="宋体" w:eastAsia="宋体" w:cs="宋体"/>
                <w:sz w:val="24"/>
                <w:szCs w:val="24"/>
                <w:highlight w:val="none"/>
                <w:lang w:val="zh-CN"/>
              </w:rPr>
              <w:t xml:space="preserve">内部管理</w:t>
            </w:r>
            <w:r>
              <w:rPr>
                <w:rFonts w:hint="eastAsia" w:ascii="宋体" w:hAnsi="宋体" w:eastAsia="宋体" w:cs="宋体"/>
                <w:sz w:val="24"/>
                <w:szCs w:val="24"/>
                <w:highlight w:val="none"/>
              </w:rPr>
              <w:t xml:space="preserve">”中6项要求的响应内容全部优于招标文件要求的（前提是投标文件对“</w:t>
            </w:r>
            <w:r>
              <w:rPr>
                <w:rFonts w:hint="eastAsia" w:ascii="宋体" w:hAnsi="宋体" w:eastAsia="宋体" w:cs="宋体"/>
                <w:sz w:val="24"/>
                <w:szCs w:val="24"/>
                <w:highlight w:val="none"/>
                <w:lang w:val="zh-CN"/>
              </w:rPr>
              <w:t xml:space="preserve">内部管理</w:t>
            </w:r>
            <w:r>
              <w:rPr>
                <w:rFonts w:hint="eastAsia" w:ascii="宋体" w:hAnsi="宋体" w:eastAsia="宋体" w:cs="宋体"/>
                <w:sz w:val="24"/>
                <w:szCs w:val="24"/>
                <w:highlight w:val="none"/>
              </w:rPr>
              <w:t xml:space="preserve">”中除6项以外其他要求响应内容符合招标文件要求），本项得</w:t>
            </w:r>
            <w:r>
              <w:rPr>
                <w:rFonts w:hint="eastAsia" w:ascii="宋体" w:hAnsi="宋体" w:eastAsia="宋体" w:cs="宋体"/>
                <w:sz w:val="24"/>
                <w:szCs w:val="24"/>
                <w:highlight w:val="none"/>
                <w:lang w:val="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2.5本项目的节能管理。评委根据投标文件对招标文件第四章“</w:t>
            </w: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val="zh-CN"/>
              </w:rPr>
              <w:t xml:space="preserve">”中“节能管理”要求的响应方案进行评审。</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（1）投标文件未符合“</w:t>
            </w:r>
            <w:r>
              <w:rPr>
                <w:rFonts w:hint="eastAsia" w:ascii="宋体" w:hAnsi="宋体" w:eastAsia="宋体" w:cs="宋体"/>
                <w:sz w:val="24"/>
                <w:szCs w:val="24"/>
                <w:highlight w:val="none"/>
                <w:lang w:val="zh-CN"/>
              </w:rPr>
              <w:t xml:space="preserve">节能管理</w:t>
            </w:r>
            <w:r>
              <w:rPr>
                <w:rFonts w:hint="eastAsia" w:ascii="宋体" w:hAnsi="宋体" w:eastAsia="宋体" w:cs="宋体"/>
                <w:sz w:val="24"/>
                <w:szCs w:val="24"/>
                <w:highlight w:val="none"/>
              </w:rPr>
              <w:t xml:space="preserve">”中全部条款要求的，视为不符合招标文件，本项得</w:t>
            </w:r>
            <w:r>
              <w:rPr>
                <w:rFonts w:hint="eastAsia" w:ascii="宋体" w:hAnsi="宋体" w:eastAsia="宋体" w:cs="宋体"/>
                <w:sz w:val="24"/>
                <w:szCs w:val="24"/>
                <w:highlight w:val="none"/>
                <w:lang w:val="zh-CN"/>
              </w:rPr>
              <w:t xml:space="preserve">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（2）投标文件符合“</w:t>
            </w:r>
            <w:r>
              <w:rPr>
                <w:rFonts w:hint="eastAsia" w:ascii="宋体" w:hAnsi="宋体" w:eastAsia="宋体" w:cs="宋体"/>
                <w:sz w:val="24"/>
                <w:szCs w:val="24"/>
                <w:highlight w:val="none"/>
                <w:lang w:val="zh-CN"/>
              </w:rPr>
              <w:t xml:space="preserve">节能管理</w:t>
            </w:r>
            <w:r>
              <w:rPr>
                <w:rFonts w:hint="eastAsia" w:ascii="宋体" w:hAnsi="宋体" w:eastAsia="宋体" w:cs="宋体"/>
                <w:sz w:val="24"/>
                <w:szCs w:val="24"/>
                <w:highlight w:val="none"/>
              </w:rPr>
              <w:t xml:space="preserve">”中全部条款要求的，视为符合招标文件，本项得</w:t>
            </w: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（3）投标文件对“</w:t>
            </w:r>
            <w:r>
              <w:rPr>
                <w:rFonts w:hint="eastAsia" w:ascii="宋体" w:hAnsi="宋体" w:eastAsia="宋体" w:cs="宋体"/>
                <w:sz w:val="24"/>
                <w:szCs w:val="24"/>
                <w:highlight w:val="none"/>
                <w:lang w:val="zh-CN"/>
              </w:rPr>
              <w:t xml:space="preserve">节能管理</w:t>
            </w:r>
            <w:r>
              <w:rPr>
                <w:rFonts w:hint="eastAsia" w:ascii="宋体" w:hAnsi="宋体" w:eastAsia="宋体" w:cs="宋体"/>
                <w:sz w:val="24"/>
                <w:szCs w:val="24"/>
                <w:highlight w:val="none"/>
              </w:rPr>
              <w:t xml:space="preserve">”中3项要求的响应内容全部优于招标文件要求的（前提是投标文件对“</w:t>
            </w:r>
            <w:r>
              <w:rPr>
                <w:rFonts w:hint="eastAsia" w:ascii="宋体" w:hAnsi="宋体" w:eastAsia="宋体" w:cs="宋体"/>
                <w:sz w:val="24"/>
                <w:szCs w:val="24"/>
                <w:highlight w:val="none"/>
                <w:lang w:val="zh-CN"/>
              </w:rPr>
              <w:t xml:space="preserve">节能管理</w:t>
            </w:r>
            <w:r>
              <w:rPr>
                <w:rFonts w:hint="eastAsia" w:ascii="宋体" w:hAnsi="宋体" w:eastAsia="宋体" w:cs="宋体"/>
                <w:sz w:val="24"/>
                <w:szCs w:val="24"/>
                <w:highlight w:val="none"/>
              </w:rPr>
              <w:t xml:space="preserve">”中除3项以外其他要求响应内容符合招标文件要求），本项</w:t>
            </w:r>
            <w:r>
              <w:rPr>
                <w:rFonts w:hint="eastAsia" w:ascii="宋体" w:hAnsi="宋体" w:eastAsia="宋体" w:cs="宋体"/>
                <w:sz w:val="24"/>
                <w:szCs w:val="24"/>
                <w:highlight w:val="none"/>
                <w:lang w:val="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2.6本项目的应急及突发事件。评委根据投标文件对招标文件第四章“</w:t>
            </w: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val="zh-CN"/>
              </w:rPr>
              <w:t xml:space="preserve">”中“应急及突发事件”要求的响应方案进行评审。</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（1）投标文件未符合“</w:t>
            </w:r>
            <w:r>
              <w:rPr>
                <w:rFonts w:hint="eastAsia" w:ascii="宋体" w:hAnsi="宋体" w:eastAsia="宋体" w:cs="宋体"/>
                <w:sz w:val="24"/>
                <w:szCs w:val="24"/>
                <w:highlight w:val="none"/>
                <w:lang w:val="zh-CN"/>
              </w:rPr>
              <w:t xml:space="preserve">应急及突发事件</w:t>
            </w:r>
            <w:r>
              <w:rPr>
                <w:rFonts w:hint="eastAsia" w:ascii="宋体" w:hAnsi="宋体" w:eastAsia="宋体" w:cs="宋体"/>
                <w:sz w:val="24"/>
                <w:szCs w:val="24"/>
                <w:highlight w:val="none"/>
              </w:rPr>
              <w:t xml:space="preserve">”中全部条款要求的，视为不符合招标文件，本项得0分。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（2）投标文件符合“</w:t>
            </w:r>
            <w:r>
              <w:rPr>
                <w:rFonts w:hint="eastAsia" w:ascii="宋体" w:hAnsi="宋体" w:eastAsia="宋体" w:cs="宋体"/>
                <w:sz w:val="24"/>
                <w:szCs w:val="24"/>
                <w:highlight w:val="none"/>
                <w:lang w:val="zh-CN"/>
              </w:rPr>
              <w:t xml:space="preserve">应急及突发事件</w:t>
            </w:r>
            <w:r>
              <w:rPr>
                <w:rFonts w:hint="eastAsia" w:ascii="宋体" w:hAnsi="宋体" w:eastAsia="宋体" w:cs="宋体"/>
                <w:sz w:val="24"/>
                <w:szCs w:val="24"/>
                <w:highlight w:val="none"/>
              </w:rPr>
              <w:t xml:space="preserve">”中全部条款要求的，视为符合招标文件，本项得</w:t>
            </w: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（3）投标文件对“</w:t>
            </w:r>
            <w:r>
              <w:rPr>
                <w:rFonts w:hint="eastAsia" w:ascii="宋体" w:hAnsi="宋体" w:eastAsia="宋体" w:cs="宋体"/>
                <w:sz w:val="24"/>
                <w:szCs w:val="24"/>
                <w:highlight w:val="none"/>
                <w:lang w:val="zh-CN"/>
              </w:rPr>
              <w:t xml:space="preserve">应急及突发事件</w:t>
            </w:r>
            <w:r>
              <w:rPr>
                <w:rFonts w:hint="eastAsia" w:ascii="宋体" w:hAnsi="宋体" w:eastAsia="宋体" w:cs="宋体"/>
                <w:sz w:val="24"/>
                <w:szCs w:val="24"/>
                <w:highlight w:val="none"/>
              </w:rPr>
              <w:t xml:space="preserve">”中2项要求的响应内容全部优于招标文件要求的（前提是投标文件对“</w:t>
            </w:r>
            <w:r>
              <w:rPr>
                <w:rFonts w:hint="eastAsia" w:ascii="宋体" w:hAnsi="宋体" w:eastAsia="宋体" w:cs="宋体"/>
                <w:sz w:val="24"/>
                <w:szCs w:val="24"/>
                <w:highlight w:val="none"/>
                <w:lang w:val="zh-CN"/>
              </w:rPr>
              <w:t xml:space="preserve">应急及突发事件</w:t>
            </w:r>
            <w:r>
              <w:rPr>
                <w:rFonts w:hint="eastAsia" w:ascii="宋体" w:hAnsi="宋体" w:eastAsia="宋体" w:cs="宋体"/>
                <w:sz w:val="24"/>
                <w:szCs w:val="24"/>
                <w:highlight w:val="none"/>
              </w:rPr>
              <w:t xml:space="preserve">”中除2项以外其他要求响应内容符合招标文件要求），本项得</w:t>
            </w:r>
            <w:r>
              <w:rPr>
                <w:rFonts w:hint="eastAsia" w:ascii="宋体" w:hAnsi="宋体" w:eastAsia="宋体" w:cs="宋体"/>
                <w:sz w:val="24"/>
                <w:szCs w:val="24"/>
                <w:highlight w:val="none"/>
                <w:lang w:val="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r>
      <w:tr>
        <w:trPr>
          <w:trHeight w:val="416"/>
        </w:trPr>
        <w:tc>
          <w:tcPr>
            <w:tcW w:w="742" w:type="dxa"/>
            <w:vAlign w:val="center"/>
            <w:textDirection w:val="lrTb"/>
            <w:noWrap w:val="false"/>
          </w:tcPr>
          <w:p>
            <w:pPr>
              <w:pStyle w:val="887"/>
              <w:ind w:firstLine="20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780" w:type="dxa"/>
            <w:vAlign w:val="center"/>
            <w:textDirection w:val="lrTb"/>
            <w:noWrap w:val="false"/>
          </w:tcPr>
          <w:p>
            <w:pPr>
              <w:pStyle w:val="887"/>
              <w:ind w:firstLine="3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W w:w="1440" w:type="dxa"/>
            <w:vAlign w:val="center"/>
            <w:textDirection w:val="lrTb"/>
            <w:noWrap w:val="false"/>
          </w:tcPr>
          <w:p>
            <w:pPr>
              <w:pStyle w:val="887"/>
              <w:ind w:firstLine="34"/>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整体服务方案要求</w:t>
            </w:r>
            <w:r>
              <w:rPr>
                <w:rFonts w:hint="eastAsia" w:ascii="宋体" w:hAnsi="宋体" w:eastAsia="宋体" w:cs="宋体"/>
                <w:sz w:val="24"/>
                <w:szCs w:val="24"/>
                <w:highlight w:val="none"/>
              </w:rPr>
            </w:r>
            <w:r/>
          </w:p>
        </w:tc>
        <w:tc>
          <w:tcPr>
            <w:tcW w:w="7558" w:type="dxa"/>
            <w:vAlign w:val="center"/>
            <w:textDirection w:val="lrTb"/>
            <w:noWrap w:val="false"/>
          </w:tcPr>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3.1本项目的整体服务方案要求（一）。评委根据投标文件对招标文件第四章“</w:t>
            </w: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val="zh-CN"/>
              </w:rPr>
              <w:t xml:space="preserve">”中“整体服务方案要求（一）”要求的响应方案进行评审。</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（1）投标文件未符合“</w:t>
            </w:r>
            <w:r>
              <w:rPr>
                <w:rFonts w:hint="eastAsia" w:ascii="宋体" w:hAnsi="宋体" w:eastAsia="宋体" w:cs="宋体"/>
                <w:sz w:val="24"/>
                <w:szCs w:val="24"/>
                <w:highlight w:val="none"/>
                <w:lang w:val="zh-CN"/>
              </w:rPr>
              <w:t xml:space="preserve">整体服务方案要求（一）</w:t>
            </w:r>
            <w:r>
              <w:rPr>
                <w:rFonts w:hint="eastAsia" w:ascii="宋体" w:hAnsi="宋体" w:eastAsia="宋体" w:cs="宋体"/>
                <w:sz w:val="24"/>
                <w:szCs w:val="24"/>
                <w:highlight w:val="none"/>
              </w:rPr>
              <w:t xml:space="preserve">”中全部条款要求的，视为不符合招标文件，本项得</w:t>
            </w:r>
            <w:r>
              <w:rPr>
                <w:rFonts w:hint="eastAsia" w:ascii="宋体" w:hAnsi="宋体" w:eastAsia="宋体" w:cs="宋体"/>
                <w:sz w:val="24"/>
                <w:szCs w:val="24"/>
                <w:highlight w:val="none"/>
                <w:lang w:val="zh-CN"/>
              </w:rPr>
              <w:t xml:space="preserve">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（2）投标文件符合“</w:t>
            </w:r>
            <w:r>
              <w:rPr>
                <w:rFonts w:hint="eastAsia" w:ascii="宋体" w:hAnsi="宋体" w:eastAsia="宋体" w:cs="宋体"/>
                <w:sz w:val="24"/>
                <w:szCs w:val="24"/>
                <w:highlight w:val="none"/>
                <w:lang w:val="zh-CN"/>
              </w:rPr>
              <w:t xml:space="preserve">整体服务方案要求（一）</w:t>
            </w:r>
            <w:r>
              <w:rPr>
                <w:rFonts w:hint="eastAsia" w:ascii="宋体" w:hAnsi="宋体" w:eastAsia="宋体" w:cs="宋体"/>
                <w:sz w:val="24"/>
                <w:szCs w:val="24"/>
                <w:highlight w:val="none"/>
              </w:rPr>
              <w:t xml:space="preserve">”中全部条款要求的，视为符合招标文件，本项得</w:t>
            </w: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（3）投标文件对“</w:t>
            </w:r>
            <w:r>
              <w:rPr>
                <w:rFonts w:hint="eastAsia" w:ascii="宋体" w:hAnsi="宋体" w:eastAsia="宋体" w:cs="宋体"/>
                <w:sz w:val="24"/>
                <w:szCs w:val="24"/>
                <w:highlight w:val="none"/>
                <w:lang w:val="zh-CN"/>
              </w:rPr>
              <w:t xml:space="preserve">整体服务方案要求（一）</w:t>
            </w:r>
            <w:r>
              <w:rPr>
                <w:rFonts w:hint="eastAsia" w:ascii="宋体" w:hAnsi="宋体" w:eastAsia="宋体" w:cs="宋体"/>
                <w:sz w:val="24"/>
                <w:szCs w:val="24"/>
                <w:highlight w:val="none"/>
              </w:rPr>
              <w:t xml:space="preserve">”要求的响应内容全部优于招标文件要求的，本项得</w:t>
            </w:r>
            <w:r>
              <w:rPr>
                <w:rFonts w:hint="eastAsia" w:ascii="宋体" w:hAnsi="宋体" w:eastAsia="宋体" w:cs="宋体"/>
                <w:sz w:val="24"/>
                <w:szCs w:val="24"/>
                <w:highlight w:val="none"/>
                <w:lang w:val="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2.2本项目的整体服务方案要求（二）。评委根据投标文件对招标文件第四章“</w:t>
            </w: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val="zh-CN"/>
              </w:rPr>
              <w:t xml:space="preserve">”中“整体服务方案要求（二）”要求的响应方案进行评审。</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（1）投标文件未符合“</w:t>
            </w:r>
            <w:r>
              <w:rPr>
                <w:rFonts w:hint="eastAsia" w:ascii="宋体" w:hAnsi="宋体" w:eastAsia="宋体" w:cs="宋体"/>
                <w:sz w:val="24"/>
                <w:szCs w:val="24"/>
                <w:highlight w:val="none"/>
                <w:lang w:val="zh-CN"/>
              </w:rPr>
              <w:t xml:space="preserve">整体服务方案要求（二）</w:t>
            </w:r>
            <w:r>
              <w:rPr>
                <w:rFonts w:hint="eastAsia" w:ascii="宋体" w:hAnsi="宋体" w:eastAsia="宋体" w:cs="宋体"/>
                <w:sz w:val="24"/>
                <w:szCs w:val="24"/>
                <w:highlight w:val="none"/>
              </w:rPr>
              <w:t xml:space="preserve">”中全部条款要求的，视为不符合招标文件，本项得0分。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（2）投标文件符合“</w:t>
            </w:r>
            <w:r>
              <w:rPr>
                <w:rFonts w:hint="eastAsia" w:ascii="宋体" w:hAnsi="宋体" w:eastAsia="宋体" w:cs="宋体"/>
                <w:sz w:val="24"/>
                <w:szCs w:val="24"/>
                <w:highlight w:val="none"/>
                <w:lang w:val="zh-CN"/>
              </w:rPr>
              <w:t xml:space="preserve">整体服务方案要求（二）</w:t>
            </w:r>
            <w:r>
              <w:rPr>
                <w:rFonts w:hint="eastAsia" w:ascii="宋体" w:hAnsi="宋体" w:eastAsia="宋体" w:cs="宋体"/>
                <w:sz w:val="24"/>
                <w:szCs w:val="24"/>
                <w:highlight w:val="none"/>
              </w:rPr>
              <w:t xml:space="preserve">”中全部条款要求的，视为符合招标文件，本项得</w:t>
            </w: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（3）投标文件对“</w:t>
            </w:r>
            <w:r>
              <w:rPr>
                <w:rFonts w:hint="eastAsia" w:ascii="宋体" w:hAnsi="宋体" w:eastAsia="宋体" w:cs="宋体"/>
                <w:sz w:val="24"/>
                <w:szCs w:val="24"/>
                <w:highlight w:val="none"/>
                <w:lang w:val="zh-CN"/>
              </w:rPr>
              <w:t xml:space="preserve">整体服务方案要求（二）</w:t>
            </w:r>
            <w:r>
              <w:rPr>
                <w:rFonts w:hint="eastAsia" w:ascii="宋体" w:hAnsi="宋体" w:eastAsia="宋体" w:cs="宋体"/>
                <w:sz w:val="24"/>
                <w:szCs w:val="24"/>
                <w:highlight w:val="none"/>
              </w:rPr>
              <w:t xml:space="preserve">”要求的响应内容全部优于招标文件要求的，本项得</w:t>
            </w:r>
            <w:r>
              <w:rPr>
                <w:rFonts w:hint="eastAsia" w:ascii="宋体" w:hAnsi="宋体" w:eastAsia="宋体" w:cs="宋体"/>
                <w:sz w:val="24"/>
                <w:szCs w:val="24"/>
                <w:highlight w:val="none"/>
                <w:lang w:val="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r>
      <w:tr>
        <w:trPr>
          <w:trHeight w:val="416"/>
        </w:trPr>
        <w:tc>
          <w:tcPr>
            <w:tcW w:w="742" w:type="dxa"/>
            <w:vAlign w:val="center"/>
            <w:textDirection w:val="lrTb"/>
            <w:noWrap w:val="false"/>
          </w:tcPr>
          <w:p>
            <w:pPr>
              <w:pStyle w:val="887"/>
              <w:ind w:firstLine="20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780" w:type="dxa"/>
            <w:vAlign w:val="center"/>
            <w:textDirection w:val="lrTb"/>
            <w:noWrap w:val="false"/>
          </w:tcPr>
          <w:p>
            <w:pPr>
              <w:pStyle w:val="887"/>
              <w:ind w:firstLine="3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10</w:t>
            </w:r>
            <w:r>
              <w:rPr>
                <w:rFonts w:hint="eastAsia" w:ascii="宋体" w:hAnsi="宋体" w:eastAsia="宋体" w:cs="宋体"/>
                <w:sz w:val="24"/>
                <w:szCs w:val="24"/>
                <w:highlight w:val="none"/>
              </w:rPr>
            </w:r>
            <w:r/>
          </w:p>
        </w:tc>
        <w:tc>
          <w:tcPr>
            <w:tcW w:w="1440" w:type="dxa"/>
            <w:vAlign w:val="center"/>
            <w:textDirection w:val="lrTb"/>
            <w:noWrap w:val="false"/>
          </w:tcPr>
          <w:p>
            <w:pPr>
              <w:pStyle w:val="887"/>
              <w:ind w:firstLine="34"/>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进场、退场交接配合方 案</w:t>
            </w:r>
            <w:r>
              <w:rPr>
                <w:rFonts w:hint="eastAsia" w:ascii="宋体" w:hAnsi="宋体" w:eastAsia="宋体" w:cs="宋体"/>
                <w:sz w:val="24"/>
                <w:szCs w:val="24"/>
                <w:highlight w:val="none"/>
              </w:rPr>
            </w:r>
            <w:r/>
          </w:p>
        </w:tc>
        <w:tc>
          <w:tcPr>
            <w:tcW w:w="7558" w:type="dxa"/>
            <w:vAlign w:val="center"/>
            <w:textDirection w:val="lrTb"/>
            <w:noWrap w:val="false"/>
          </w:tcPr>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w:t>
            </w:r>
            <w:r>
              <w:rPr>
                <w:rFonts w:hint="eastAsia" w:ascii="宋体" w:hAnsi="宋体" w:eastAsia="宋体" w:cs="宋体"/>
                <w:sz w:val="24"/>
                <w:szCs w:val="24"/>
                <w:highlight w:val="none"/>
                <w:lang w:val="zh-CN"/>
              </w:rPr>
              <w:t xml:space="preserve">本项目的</w:t>
            </w:r>
            <w:r>
              <w:rPr>
                <w:rFonts w:hint="eastAsia" w:ascii="宋体" w:hAnsi="宋体" w:eastAsia="宋体" w:cs="宋体"/>
                <w:sz w:val="24"/>
                <w:szCs w:val="24"/>
                <w:highlight w:val="none"/>
              </w:rPr>
              <w:t xml:space="preserve">进场交接流程与交接重难点分析要求</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评委根据投标文件对招标文件第四章“采购需求”中“进场交接流程与交接重难点分析”要求的响应方案进行评审。</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（1）投标文件未符合“进场交接流程与交接重难点分析”中全部条款要求的，视为不符合招标文件，本项得0分。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（2）投标文件符合“进场交接流程与交接重难点分析”中全部条款要求的，视为符合招标文件，本项得3分。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文件对“进场交接流程与交接重难点分析”中2项要求的响应内容全部优于招标文件要求的（前提是投标文件对“进场交接流程与交接重难点分析”中除2项以外其他要求响应内容符合招标文件要求），本项得5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w:t>
            </w:r>
            <w:r>
              <w:rPr>
                <w:rFonts w:hint="eastAsia" w:ascii="宋体" w:hAnsi="宋体" w:eastAsia="宋体" w:cs="宋体"/>
                <w:sz w:val="24"/>
                <w:szCs w:val="24"/>
                <w:highlight w:val="none"/>
                <w:lang w:val="zh-CN"/>
              </w:rPr>
              <w:t xml:space="preserve">本项目的</w:t>
            </w:r>
            <w:r>
              <w:rPr>
                <w:rFonts w:hint="eastAsia" w:ascii="宋体" w:hAnsi="宋体" w:eastAsia="宋体" w:cs="宋体"/>
                <w:sz w:val="24"/>
                <w:szCs w:val="24"/>
                <w:highlight w:val="none"/>
              </w:rPr>
              <w:t xml:space="preserve">退场交接流程与交接重难点分析要求</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评委根据投标文件对招标文件第四章“采购需求”中“退场交接流程与交接重难点分析”要求的响应方案进行评审。</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（1）投标文件未符合“退场交接流程与交接重难点分析”中全部条款要求的，视为不符合招标文件，本项得0分。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（2）投标文件符合“退场交接流程与交接重难点分析”中全部条款要求的，视为符合招标文件，本项得3分。</w:t>
            </w:r>
            <w:r>
              <w:rPr>
                <w:rFonts w:hint="eastAsia" w:ascii="宋体" w:hAnsi="宋体" w:eastAsia="宋体" w:cs="宋体"/>
                <w:sz w:val="24"/>
                <w:szCs w:val="24"/>
                <w:highlight w:val="none"/>
              </w:rPr>
            </w:r>
            <w:r/>
          </w:p>
          <w:p>
            <w:pPr>
              <w:pStyle w:val="887"/>
              <w:ind w:firstLine="3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文件对“退场交接流程与交接重难点分析”中2项要求的响应内容全部优于招标文件要求的（前提是投标文件对“退场交接流程与交接重难点分析”中除2项以外其他要求响应内容符合招标文件要求），本项得5分。</w:t>
            </w:r>
            <w:r>
              <w:rPr>
                <w:rFonts w:hint="eastAsia" w:ascii="宋体" w:hAnsi="宋体" w:eastAsia="宋体" w:cs="宋体"/>
                <w:sz w:val="24"/>
                <w:szCs w:val="24"/>
                <w:highlight w:val="none"/>
              </w:rPr>
            </w:r>
            <w:r/>
          </w:p>
        </w:tc>
      </w:tr>
      <w:tr>
        <w:trPr>
          <w:trHeight w:val="983"/>
        </w:trPr>
        <w:tc>
          <w:tcPr>
            <w:tcW w:w="742" w:type="dxa"/>
            <w:vAlign w:val="center"/>
            <w:textDirection w:val="lrTb"/>
            <w:noWrap w:val="false"/>
          </w:tcPr>
          <w:p>
            <w:pPr>
              <w:pStyle w:val="887"/>
              <w:ind w:firstLine="20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780" w:type="dxa"/>
            <w:vAlign w:val="center"/>
            <w:textDirection w:val="lrTb"/>
            <w:noWrap w:val="false"/>
          </w:tcPr>
          <w:p>
            <w:pPr>
              <w:pStyle w:val="887"/>
              <w:ind w:firstLine="3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W w:w="1440" w:type="dxa"/>
            <w:vAlign w:val="center"/>
            <w:textDirection w:val="lrTb"/>
            <w:noWrap w:val="false"/>
          </w:tcPr>
          <w:p>
            <w:pPr>
              <w:pStyle w:val="887"/>
              <w:jc w:val="center"/>
              <w:spacing w:line="3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887"/>
              <w:spacing w:line="3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887"/>
              <w:spacing w:line="3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投标方业绩</w:t>
            </w:r>
            <w:r>
              <w:rPr>
                <w:rFonts w:hint="eastAsia" w:ascii="宋体" w:hAnsi="宋体" w:eastAsia="宋体" w:cs="宋体"/>
                <w:sz w:val="24"/>
                <w:szCs w:val="24"/>
                <w:highlight w:val="none"/>
                <w:lang w:val="zh-CN"/>
              </w:rPr>
            </w:r>
            <w:r/>
          </w:p>
          <w:p>
            <w:pPr>
              <w:pStyle w:val="887"/>
              <w:ind w:firstLine="34"/>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558" w:type="dxa"/>
            <w:vAlign w:val="center"/>
            <w:textDirection w:val="lrTb"/>
            <w:noWrap w:val="false"/>
          </w:tcPr>
          <w:p>
            <w:pPr>
              <w:pStyle w:val="88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投标人提供自2023年1月1日(时间以合同签订时间为准)以来类似非住宅类办公及教学类楼宇物业管理项目业绩及对应业主满意或优秀评价（至少含日常管理和保洁两项内容），提供的业绩必须具有被服务单位对物业服务满意或优秀或同等级的评价证明。</w:t>
            </w:r>
            <w:r>
              <w:rPr>
                <w:rFonts w:hint="eastAsia" w:ascii="宋体" w:hAnsi="宋体" w:eastAsia="宋体" w:cs="宋体"/>
                <w:sz w:val="24"/>
                <w:szCs w:val="24"/>
                <w:highlight w:val="none"/>
              </w:rPr>
              <w:t xml:space="preserve">每提供1个业绩给1分，</w:t>
            </w:r>
            <w:r>
              <w:rPr>
                <w:rFonts w:hint="eastAsia" w:ascii="宋体" w:hAnsi="宋体" w:eastAsia="宋体" w:cs="宋体"/>
                <w:sz w:val="24"/>
                <w:szCs w:val="24"/>
                <w:highlight w:val="none"/>
              </w:rPr>
              <w:t xml:space="preserve">最多</w:t>
            </w:r>
            <w:r>
              <w:rPr>
                <w:rFonts w:hint="eastAsia" w:ascii="宋体" w:hAnsi="宋体" w:eastAsia="宋体" w:cs="宋体"/>
                <w:sz w:val="24"/>
                <w:szCs w:val="24"/>
                <w:highlight w:val="none"/>
              </w:rPr>
              <w:t xml:space="preserve">得5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t xml:space="preserve">上述业绩有优秀再给1分，</w:t>
            </w:r>
            <w:r>
              <w:rPr>
                <w:rFonts w:hint="eastAsia" w:ascii="宋体" w:hAnsi="宋体" w:eastAsia="宋体" w:cs="宋体"/>
                <w:sz w:val="24"/>
                <w:szCs w:val="24"/>
                <w:highlight w:val="none"/>
              </w:rPr>
              <w:t xml:space="preserve">最多得5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t xml:space="preserve">该项</w:t>
            </w:r>
            <w:r>
              <w:rPr>
                <w:rFonts w:hint="eastAsia" w:ascii="宋体" w:hAnsi="宋体" w:eastAsia="宋体" w:cs="宋体"/>
                <w:sz w:val="24"/>
                <w:szCs w:val="24"/>
                <w:highlight w:val="none"/>
              </w:rPr>
              <w:t xml:space="preserve">满分10分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同一项目不同年限按一个计算，提供合同关键页原件扫描件(必须涵括合同首页、合同金额页、合同签字盖章页)及业主相关部门盖章的评价材料，否则无效。</w:t>
            </w:r>
            <w:r/>
          </w:p>
        </w:tc>
      </w:tr>
      <w:tr>
        <w:trPr>
          <w:trHeight w:val="983"/>
        </w:trPr>
        <w:tc>
          <w:tcPr>
            <w:tcW w:w="742" w:type="dxa"/>
            <w:vAlign w:val="center"/>
            <w:textDirection w:val="lrTb"/>
            <w:noWrap w:val="false"/>
          </w:tcPr>
          <w:p>
            <w:pPr>
              <w:pStyle w:val="887"/>
              <w:ind w:firstLine="20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780" w:type="dxa"/>
            <w:vAlign w:val="center"/>
            <w:textDirection w:val="lrTb"/>
            <w:noWrap w:val="false"/>
          </w:tcPr>
          <w:p>
            <w:pPr>
              <w:pStyle w:val="887"/>
              <w:jc w:val="center"/>
              <w:tabs>
                <w:tab w:val="left" w:pos="12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rPr>
            </w:r>
            <w:r/>
          </w:p>
        </w:tc>
        <w:tc>
          <w:tcPr>
            <w:tcW w:w="1440" w:type="dxa"/>
            <w:vAlign w:val="center"/>
            <w:textDirection w:val="lrTb"/>
            <w:noWrap w:val="false"/>
          </w:tcPr>
          <w:p>
            <w:pPr>
              <w:pStyle w:val="887"/>
              <w:jc w:val="left"/>
              <w:tabs>
                <w:tab w:val="left" w:pos="12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人员资质</w:t>
            </w:r>
            <w:r>
              <w:rPr>
                <w:rFonts w:hint="eastAsia" w:ascii="宋体" w:hAnsi="宋体" w:eastAsia="宋体" w:cs="宋体"/>
                <w:sz w:val="24"/>
                <w:szCs w:val="24"/>
                <w:highlight w:val="none"/>
              </w:rPr>
            </w:r>
            <w:r/>
          </w:p>
        </w:tc>
        <w:tc>
          <w:tcPr>
            <w:tcW w:w="7558" w:type="dxa"/>
            <w:vAlign w:val="center"/>
            <w:textDirection w:val="lrTb"/>
            <w:noWrap w:val="false"/>
          </w:tcPr>
          <w:p>
            <w:pPr>
              <w:pStyle w:val="961"/>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6.1拟投入本项目的项目经理：</w:t>
            </w:r>
            <w:r>
              <w:rPr>
                <w:rFonts w:hint="eastAsia" w:ascii="宋体" w:hAnsi="宋体" w:eastAsia="宋体" w:cs="宋体"/>
                <w:sz w:val="24"/>
                <w:szCs w:val="24"/>
                <w:highlight w:val="none"/>
              </w:rPr>
            </w:r>
            <w:r/>
          </w:p>
          <w:p>
            <w:pPr>
              <w:pStyle w:val="961"/>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1.具有本科及以上学历得2分，最高得2分。</w:t>
            </w:r>
            <w:r>
              <w:rPr>
                <w:rFonts w:hint="eastAsia" w:ascii="宋体" w:hAnsi="宋体" w:eastAsia="宋体" w:cs="宋体"/>
                <w:sz w:val="24"/>
                <w:szCs w:val="24"/>
                <w:highlight w:val="none"/>
              </w:rPr>
            </w:r>
            <w:r/>
          </w:p>
          <w:p>
            <w:pPr>
              <w:pStyle w:val="961"/>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t xml:space="preserve">具有人社部门或人社部门备案的第三方评价机构颁发的职业技能等级高级工（三级）及以上物业管理师证书得2分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61"/>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3.具有中级职称证书得2分。</w:t>
            </w:r>
            <w:r>
              <w:rPr>
                <w:rFonts w:hint="eastAsia" w:ascii="宋体" w:hAnsi="宋体" w:eastAsia="宋体" w:cs="宋体"/>
                <w:sz w:val="24"/>
                <w:szCs w:val="24"/>
                <w:highlight w:val="none"/>
              </w:rPr>
            </w:r>
            <w:r/>
          </w:p>
          <w:p>
            <w:pPr>
              <w:pStyle w:val="961"/>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4.具有学校物业管理经验证明材料5年及以上得2分（提供含服务单位主管部门联系方式对应工作经验年数的学校服务单位工作证明）。</w:t>
            </w:r>
            <w:r>
              <w:rPr>
                <w:rFonts w:hint="eastAsia" w:ascii="宋体" w:hAnsi="宋体" w:eastAsia="宋体" w:cs="宋体"/>
                <w:sz w:val="24"/>
                <w:szCs w:val="24"/>
                <w:highlight w:val="none"/>
              </w:rPr>
            </w:r>
            <w:r/>
          </w:p>
          <w:p>
            <w:pPr>
              <w:pStyle w:val="961"/>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投标文件中提供学历证书（需提供学信网查询记录）及投标人近半年来任意一个月为其缴纳的社保记录和公积金缴纳记录证明材料。(此项满分为8分)</w:t>
            </w:r>
            <w:r/>
          </w:p>
          <w:p>
            <w:pPr>
              <w:pStyle w:val="887"/>
              <w:ind w:firstLine="468"/>
              <w:jc w:val="left"/>
              <w:tabs>
                <w:tab w:val="left" w:pos="12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6.2楼宇管理员（巡值人员）：</w:t>
            </w:r>
            <w:r>
              <w:rPr>
                <w:rFonts w:hint="eastAsia" w:ascii="宋体" w:hAnsi="宋体" w:eastAsia="宋体" w:cs="宋体"/>
                <w:sz w:val="24"/>
                <w:szCs w:val="24"/>
                <w:highlight w:val="none"/>
              </w:rPr>
            </w:r>
            <w:r/>
          </w:p>
          <w:p>
            <w:pPr>
              <w:ind w:firstLine="468"/>
              <w:jc w:val="left"/>
              <w:tabs>
                <w:tab w:val="left" w:pos="12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1.初中及以上学历，</w:t>
            </w:r>
            <w:r>
              <w:rPr>
                <w:rFonts w:hint="eastAsia" w:ascii="宋体" w:hAnsi="宋体" w:eastAsia="宋体" w:cs="宋体"/>
                <w:sz w:val="24"/>
                <w:szCs w:val="24"/>
                <w:highlight w:val="none"/>
              </w:rPr>
              <w:t xml:space="preserve">每符合条件1人</w:t>
            </w:r>
            <w:r>
              <w:rPr>
                <w:rFonts w:hint="eastAsia" w:ascii="宋体" w:hAnsi="宋体" w:eastAsia="宋体" w:cs="宋体"/>
                <w:sz w:val="24"/>
                <w:szCs w:val="24"/>
                <w:highlight w:val="none"/>
              </w:rPr>
              <w:t xml:space="preserve">得1分，最高得2分;</w:t>
            </w:r>
            <w:r>
              <w:rPr>
                <w:rFonts w:hint="eastAsia" w:ascii="宋体" w:hAnsi="宋体" w:eastAsia="宋体" w:cs="宋体"/>
                <w:sz w:val="24"/>
                <w:szCs w:val="24"/>
                <w:highlight w:val="none"/>
              </w:rPr>
            </w:r>
            <w:r/>
          </w:p>
          <w:p>
            <w:pPr>
              <w:ind w:firstLine="468"/>
              <w:jc w:val="left"/>
              <w:tabs>
                <w:tab w:val="left" w:pos="12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2.具有3年及以上学校物业管理经验得2分，5年及以上学校物业管理经验得3分。</w:t>
            </w:r>
            <w:r>
              <w:rPr>
                <w:rFonts w:hint="eastAsia" w:ascii="宋体" w:hAnsi="宋体" w:eastAsia="宋体" w:cs="宋体"/>
                <w:sz w:val="24"/>
                <w:szCs w:val="24"/>
                <w:highlight w:val="none"/>
              </w:rPr>
            </w:r>
            <w:r/>
          </w:p>
          <w:p>
            <w:pPr>
              <w:ind w:firstLine="468"/>
              <w:jc w:val="left"/>
              <w:tabs>
                <w:tab w:val="left" w:pos="12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（提供原用户单位证明文件扫描件）。(此项满分为5分)  </w:t>
            </w:r>
            <w:r/>
          </w:p>
          <w:p>
            <w:pPr>
              <w:pStyle w:val="887"/>
              <w:ind w:firstLine="468"/>
              <w:jc w:val="left"/>
              <w:tabs>
                <w:tab w:val="left" w:pos="12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6.3综合维修工：</w:t>
            </w:r>
            <w:r>
              <w:rPr>
                <w:rFonts w:hint="eastAsia" w:ascii="宋体" w:hAnsi="宋体" w:eastAsia="宋体" w:cs="宋体"/>
                <w:sz w:val="24"/>
                <w:szCs w:val="24"/>
                <w:highlight w:val="none"/>
              </w:rPr>
            </w:r>
            <w:r/>
          </w:p>
          <w:p>
            <w:pPr>
              <w:ind w:firstLine="468"/>
              <w:jc w:val="left"/>
              <w:tabs>
                <w:tab w:val="left" w:pos="12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1.初中及以上学历得2分;</w:t>
            </w:r>
            <w:r>
              <w:rPr>
                <w:rFonts w:hint="eastAsia" w:ascii="宋体" w:hAnsi="宋体" w:eastAsia="宋体" w:cs="宋体"/>
                <w:sz w:val="24"/>
                <w:szCs w:val="24"/>
                <w:highlight w:val="none"/>
              </w:rPr>
            </w:r>
            <w:r/>
          </w:p>
          <w:p>
            <w:pPr>
              <w:ind w:firstLine="468"/>
              <w:jc w:val="left"/>
              <w:tabs>
                <w:tab w:val="left" w:pos="12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t xml:space="preserve">具有官方部门颁发的低压电工证、中级消防设施操作员证</w:t>
            </w:r>
            <w:r>
              <w:rPr>
                <w:rFonts w:hint="eastAsia" w:ascii="宋体" w:hAnsi="宋体" w:eastAsia="宋体" w:cs="宋体"/>
                <w:sz w:val="24"/>
                <w:szCs w:val="24"/>
                <w:highlight w:val="none"/>
              </w:rPr>
              <w:t xml:space="preserve">以及</w:t>
            </w:r>
            <w:r>
              <w:rPr>
                <w:rFonts w:hint="eastAsia" w:ascii="宋体" w:hAnsi="宋体" w:eastAsia="宋体" w:cs="宋体"/>
                <w:sz w:val="24"/>
                <w:szCs w:val="24"/>
                <w:highlight w:val="none"/>
              </w:rPr>
              <w:t xml:space="preserve">市场监督管理局颁发的特种设备安全管理和作业人员证（特种设备安全管理）。</w:t>
            </w:r>
            <w:r>
              <w:rPr>
                <w:rFonts w:hint="eastAsia" w:ascii="宋体" w:hAnsi="宋体" w:eastAsia="宋体" w:cs="宋体"/>
                <w:sz w:val="24"/>
                <w:szCs w:val="24"/>
                <w:highlight w:val="none"/>
              </w:rPr>
            </w:r>
            <w:r/>
          </w:p>
          <w:p>
            <w:pPr>
              <w:ind w:firstLine="468"/>
              <w:jc w:val="left"/>
              <w:tabs>
                <w:tab w:val="left" w:pos="12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每提供一个证书得 1分，没有不得分，最多得3分。(此项满分为5分)</w:t>
            </w:r>
            <w:r/>
          </w:p>
          <w:p>
            <w:pPr>
              <w:pStyle w:val="887"/>
              <w:ind w:firstLine="468"/>
              <w:jc w:val="left"/>
              <w:tabs>
                <w:tab w:val="left" w:pos="12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6.4保洁员：具有人社部门或人社部门备案的第三方评价机构颁发的职业技能等级中级及以上保洁员证书得2分，最高得2分（需提供投标人近半年来任意一个月为其缴纳的社保记录记录证明材料）。(此项满分为2分)</w:t>
            </w:r>
            <w:r>
              <w:rPr>
                <w:rFonts w:hint="eastAsia" w:ascii="宋体" w:hAnsi="宋体" w:eastAsia="宋体" w:cs="宋体"/>
                <w:sz w:val="24"/>
                <w:szCs w:val="24"/>
                <w:highlight w:val="none"/>
              </w:rPr>
            </w:r>
            <w:r/>
          </w:p>
        </w:tc>
      </w:tr>
    </w:tbl>
    <w:p>
      <w:pPr>
        <w:pStyle w:val="88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7"/>
        <w:rPr>
          <w:rFonts w:hint="eastAsia" w:ascii="宋体" w:hAnsi="宋体" w:eastAsia="宋体" w:cs="宋体"/>
          <w:sz w:val="24"/>
          <w:szCs w:val="24"/>
        </w:rPr>
      </w:pPr>
      <w:r>
        <w:rPr>
          <w:rFonts w:hint="eastAsia" w:ascii="宋体" w:hAnsi="宋体" w:eastAsia="宋体" w:cs="宋体"/>
          <w:sz w:val="24"/>
          <w:szCs w:val="24"/>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8"/>
        <w:rPr>
          <w:rFonts w:ascii="黑体" w:eastAsia="黑体"/>
          <w:bCs/>
          <w:sz w:val="44"/>
        </w:rPr>
      </w:pPr>
      <w:r>
        <w:rPr>
          <w:rFonts w:ascii="黑体" w:eastAsia="黑体"/>
          <w:bCs/>
          <w:sz w:val="44"/>
        </w:rPr>
      </w:r>
      <w:r/>
    </w:p>
    <w:p>
      <w:pPr>
        <w:pStyle w:val="888"/>
        <w:rPr>
          <w:rFonts w:ascii="黑体" w:eastAsia="黑体"/>
          <w:bCs/>
          <w:sz w:val="44"/>
        </w:rPr>
      </w:pPr>
      <w:r>
        <w:rPr>
          <w:rFonts w:ascii="黑体" w:eastAsia="黑体"/>
          <w:bCs/>
          <w:sz w:val="44"/>
        </w:rPr>
      </w:r>
      <w:r/>
    </w:p>
    <w:p>
      <w:pPr>
        <w:pStyle w:val="888"/>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第六章  投标</w:t>
      </w:r>
      <w:bookmarkEnd w:id="191"/>
      <w:r/>
      <w:bookmarkEnd w:id="192"/>
      <w:r/>
      <w:bookmarkEnd w:id="202"/>
      <w:r>
        <w:rPr>
          <w:rFonts w:hint="eastAsia" w:ascii="黑体" w:eastAsia="黑体"/>
          <w:bCs/>
          <w:sz w:val="44"/>
        </w:rPr>
        <w:t xml:space="preserve">文件格式 </w:t>
      </w:r>
      <w:r>
        <w:rPr>
          <w:rFonts w:hint="eastAsia" w:ascii="黑体" w:eastAsia="黑体"/>
          <w:bCs/>
          <w:sz w:val="44"/>
        </w:rPr>
      </w:r>
      <w:r/>
    </w:p>
    <w:p>
      <w:pPr>
        <w:pStyle w:val="887"/>
        <w:jc w:val="center"/>
        <w:rPr>
          <w:rFonts w:hint="eastAsia" w:ascii="宋体" w:hAnsi="宋体"/>
          <w:b/>
          <w:sz w:val="72"/>
        </w:rPr>
      </w:pPr>
      <w:r/>
      <w:bookmarkStart w:id="203" w:name="_Hlt26955039"/>
      <w:r/>
      <w:bookmarkEnd w:id="203"/>
      <w:r/>
      <w:bookmarkStart w:id="204" w:name="_Hlt26671244"/>
      <w:r/>
      <w:bookmarkEnd w:id="204"/>
      <w:r/>
      <w:bookmarkStart w:id="205" w:name="_Toc49090576"/>
      <w:r/>
      <w:bookmarkStart w:id="206" w:name="_Toc120614282"/>
      <w:r/>
      <w:bookmarkStart w:id="207" w:name="_Toc26554094"/>
      <w:r>
        <w:rPr>
          <w:rFonts w:hint="eastAsia" w:ascii="宋体" w:hAnsi="宋体"/>
          <w:b/>
          <w:sz w:val="72"/>
        </w:rPr>
      </w:r>
      <w:r/>
    </w:p>
    <w:p>
      <w:pPr>
        <w:pStyle w:val="887"/>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87"/>
        <w:jc w:val="center"/>
        <w:rPr>
          <w:rFonts w:hint="eastAsia" w:ascii="宋体" w:hAnsi="宋体"/>
          <w:b/>
          <w:sz w:val="72"/>
        </w:rPr>
      </w:pPr>
      <w:r>
        <w:rPr>
          <w:rFonts w:hint="eastAsia" w:ascii="宋体" w:hAnsi="宋体"/>
          <w:b/>
          <w:sz w:val="72"/>
        </w:rPr>
      </w:r>
      <w:r/>
    </w:p>
    <w:p>
      <w:pPr>
        <w:pStyle w:val="887"/>
        <w:jc w:val="center"/>
        <w:rPr>
          <w:rFonts w:hint="eastAsia" w:ascii="宋体" w:hAnsi="宋体"/>
          <w:b/>
          <w:sz w:val="72"/>
        </w:rPr>
      </w:pPr>
      <w:r>
        <w:rPr>
          <w:rFonts w:hint="eastAsia" w:ascii="宋体" w:hAnsi="宋体"/>
          <w:b/>
          <w:sz w:val="72"/>
        </w:rPr>
      </w:r>
      <w:r/>
    </w:p>
    <w:p>
      <w:pPr>
        <w:pStyle w:val="887"/>
        <w:jc w:val="center"/>
        <w:rPr>
          <w:rFonts w:hint="eastAsia" w:ascii="宋体" w:hAnsi="宋体"/>
          <w:b/>
          <w:sz w:val="36"/>
        </w:rPr>
      </w:pPr>
      <w:r>
        <w:rPr>
          <w:rFonts w:hint="eastAsia" w:ascii="宋体" w:hAnsi="宋体"/>
          <w:b/>
          <w:sz w:val="36"/>
        </w:rPr>
      </w:r>
      <w:r/>
    </w:p>
    <w:p>
      <w:pPr>
        <w:pStyle w:val="887"/>
        <w:jc w:val="center"/>
        <w:rPr>
          <w:rFonts w:hint="eastAsia" w:ascii="宋体" w:hAnsi="宋体"/>
          <w:b/>
          <w:sz w:val="36"/>
        </w:rPr>
      </w:pPr>
      <w:r>
        <w:rPr>
          <w:rFonts w:hint="eastAsia" w:ascii="宋体" w:hAnsi="宋体"/>
          <w:b/>
          <w:sz w:val="36"/>
        </w:rPr>
      </w:r>
      <w:r/>
    </w:p>
    <w:p>
      <w:pPr>
        <w:pStyle w:val="887"/>
        <w:jc w:val="center"/>
        <w:rPr>
          <w:rFonts w:hint="eastAsia" w:ascii="宋体" w:hAnsi="宋体"/>
          <w:b/>
          <w:sz w:val="36"/>
        </w:rPr>
      </w:pPr>
      <w:r>
        <w:rPr>
          <w:rFonts w:hint="eastAsia" w:ascii="宋体" w:hAnsi="宋体"/>
          <w:b/>
          <w:sz w:val="36"/>
        </w:rPr>
      </w:r>
      <w:r/>
    </w:p>
    <w:p>
      <w:pPr>
        <w:pStyle w:val="88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87"/>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rPr>
          <w:rFonts w:hint="eastAsia" w:ascii="宋体" w:hAnsi="宋体"/>
          <w:b/>
          <w:sz w:val="36"/>
          <w:u w:val="single"/>
        </w:rPr>
      </w:r>
      <w:r/>
    </w:p>
    <w:p>
      <w:pPr>
        <w:pStyle w:val="88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87"/>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87"/>
        <w:jc w:val="center"/>
        <w:spacing w:line="440" w:lineRule="exact"/>
        <w:rPr>
          <w:rFonts w:hint="eastAsia" w:ascii="宋体" w:hAnsi="宋体"/>
          <w:b/>
          <w:bCs/>
          <w:sz w:val="32"/>
          <w:szCs w:val="32"/>
        </w:rPr>
      </w:pPr>
      <w:r>
        <w:rPr>
          <w:rFonts w:hint="eastAsia" w:ascii="宋体" w:hAnsi="宋体"/>
          <w:b/>
          <w:bCs/>
          <w:sz w:val="32"/>
          <w:szCs w:val="32"/>
        </w:rPr>
      </w:r>
      <w:r/>
    </w:p>
    <w:p>
      <w:pPr>
        <w:pStyle w:val="887"/>
        <w:spacing w:line="440" w:lineRule="exact"/>
        <w:rPr>
          <w:rFonts w:ascii="宋体" w:hAnsi="宋体"/>
        </w:rPr>
      </w:pPr>
      <w:r>
        <w:rPr>
          <w:rFonts w:ascii="宋体" w:hAnsi="宋体"/>
        </w:rPr>
      </w:r>
      <w:r/>
    </w:p>
    <w:p>
      <w:pPr>
        <w:pStyle w:val="887"/>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87"/>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87"/>
        <w:jc w:val="center"/>
        <w:spacing w:line="440" w:lineRule="exact"/>
        <w:rPr>
          <w:rFonts w:hint="eastAsia" w:ascii="宋体" w:hAnsi="宋体"/>
          <w:b/>
          <w:bCs/>
          <w:sz w:val="32"/>
          <w:szCs w:val="32"/>
        </w:rPr>
      </w:pPr>
      <w:r>
        <w:rPr>
          <w:rFonts w:hint="eastAsia" w:ascii="宋体" w:hAnsi="宋体"/>
          <w:b/>
          <w:bCs/>
          <w:sz w:val="32"/>
          <w:szCs w:val="32"/>
        </w:rPr>
      </w:r>
      <w:r/>
    </w:p>
    <w:p>
      <w:pPr>
        <w:pStyle w:val="887"/>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87"/>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887"/>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87"/>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87"/>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87"/>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87"/>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887"/>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887"/>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87"/>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887"/>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87"/>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87"/>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887"/>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887"/>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87"/>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887"/>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887"/>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供相关材料，否则作无效投标处理；6条如招标文件要求必须提供相关材料而未提供的，作无效投标处理。</w:t>
      </w:r>
      <w:r>
        <w:rPr>
          <w:rFonts w:ascii="宋体" w:hAnsi="宋体"/>
          <w:sz w:val="24"/>
          <w:szCs w:val="24"/>
        </w:rPr>
      </w:r>
      <w:r/>
    </w:p>
    <w:p>
      <w:pPr>
        <w:pStyle w:val="887"/>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87"/>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887"/>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887"/>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887"/>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87"/>
        <w:ind w:firstLine="480"/>
        <w:spacing w:line="400" w:lineRule="exact"/>
        <w:rPr>
          <w:rFonts w:hint="eastAsia" w:ascii="宋体" w:hAnsi="宋体"/>
          <w:sz w:val="24"/>
        </w:rPr>
      </w:pPr>
      <w:r>
        <w:rPr>
          <w:rFonts w:hint="eastAsia" w:ascii="宋体" w:hAnsi="宋体"/>
          <w:sz w:val="24"/>
        </w:rPr>
        <w:t xml:space="preserve">3.关于符合本国产品标准的声明函（格式见附件13）</w:t>
      </w:r>
      <w:r>
        <w:rPr>
          <w:rFonts w:hint="eastAsia" w:ascii="宋体" w:hAnsi="宋体"/>
          <w:sz w:val="24"/>
        </w:rPr>
      </w:r>
      <w:r/>
    </w:p>
    <w:p>
      <w:pPr>
        <w:pStyle w:val="887"/>
        <w:ind w:firstLine="480"/>
        <w:spacing w:line="400" w:lineRule="exact"/>
        <w:rPr>
          <w:rFonts w:hint="eastAsia" w:ascii="宋体" w:hAnsi="宋体"/>
          <w:sz w:val="24"/>
        </w:rPr>
      </w:pPr>
      <w:r>
        <w:rPr>
          <w:rFonts w:hint="eastAsia" w:ascii="宋体" w:hAnsi="宋体"/>
          <w:sz w:val="24"/>
        </w:rPr>
      </w:r>
      <w:r/>
    </w:p>
    <w:p>
      <w:pPr>
        <w:pStyle w:val="887"/>
        <w:rPr>
          <w:rFonts w:ascii="宋体" w:hAnsi="宋体"/>
          <w:b/>
          <w:color w:val="ff0000"/>
          <w:sz w:val="24"/>
          <w:szCs w:val="24"/>
        </w:rPr>
      </w:pPr>
      <w:r>
        <w:rPr>
          <w:rFonts w:ascii="宋体" w:hAnsi="宋体"/>
          <w:b/>
          <w:color w:val="ff0000"/>
          <w:sz w:val="24"/>
          <w:szCs w:val="24"/>
        </w:rPr>
      </w:r>
      <w:r/>
    </w:p>
    <w:p>
      <w:pPr>
        <w:pStyle w:val="887"/>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87"/>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87"/>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87"/>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87"/>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7"/>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1000"/>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87"/>
        <w:rPr>
          <w:rFonts w:ascii="宋体" w:hAnsi="宋体"/>
          <w:b/>
          <w:bCs/>
          <w:sz w:val="24"/>
          <w:szCs w:val="24"/>
        </w:rPr>
      </w:pPr>
      <w:r>
        <w:rPr>
          <w:rFonts w:ascii="宋体" w:hAnsi="宋体"/>
          <w:b/>
          <w:bCs/>
          <w:sz w:val="24"/>
          <w:szCs w:val="24"/>
        </w:rPr>
        <w:t xml:space="preserve">请按</w:t>
      </w:r>
      <w:r>
        <w:rPr>
          <w:rFonts w:ascii="宋体" w:hAnsi="宋体"/>
          <w:b/>
          <w:bCs/>
          <w:sz w:val="24"/>
          <w:szCs w:val="24"/>
        </w:rPr>
        <w:t xml:space="preserve">三年</w:t>
      </w:r>
      <w:r>
        <w:rPr>
          <w:rFonts w:ascii="宋体" w:hAnsi="宋体"/>
          <w:b/>
          <w:bCs/>
          <w:sz w:val="24"/>
          <w:szCs w:val="24"/>
        </w:rPr>
        <w:t xml:space="preserve">总价</w:t>
      </w:r>
      <w:r>
        <w:rPr>
          <w:rFonts w:ascii="宋体" w:hAnsi="宋体"/>
          <w:b/>
          <w:bCs/>
          <w:sz w:val="24"/>
          <w:szCs w:val="24"/>
        </w:rPr>
        <w:t xml:space="preserve">报价</w:t>
      </w:r>
      <w:r>
        <w:rPr>
          <w:rFonts w:ascii="宋体" w:hAnsi="宋体"/>
          <w:b/>
          <w:bCs/>
          <w:sz w:val="24"/>
          <w:szCs w:val="24"/>
        </w:rPr>
        <w:t xml:space="preserve">。</w:t>
      </w:r>
      <w:r>
        <w:rPr>
          <w:rFonts w:ascii="宋体" w:hAnsi="宋体"/>
          <w:b/>
          <w:bCs/>
          <w:sz w:val="24"/>
          <w:szCs w:val="24"/>
        </w:rPr>
      </w:r>
      <w:r>
        <w:rPr>
          <w:b/>
          <w:bCs/>
        </w:rPr>
      </w:r>
    </w:p>
    <w:p>
      <w:pPr>
        <w:pStyle w:val="887"/>
        <w:jc w:val="center"/>
        <w:rPr>
          <w:rFonts w:ascii="宋体" w:hAnsi="宋体"/>
          <w:b/>
          <w:sz w:val="24"/>
          <w:szCs w:val="24"/>
        </w:rPr>
      </w:pPr>
      <w:r>
        <w:rPr>
          <w:rFonts w:ascii="宋体" w:hAnsi="宋体"/>
          <w:b/>
          <w:sz w:val="24"/>
          <w:szCs w:val="24"/>
        </w:rPr>
      </w:r>
      <w:r/>
    </w:p>
    <w:p>
      <w:pPr>
        <w:pStyle w:val="887"/>
        <w:rPr>
          <w:rFonts w:hint="eastAsia" w:ascii="宋体" w:hAnsi="宋体"/>
          <w:b/>
          <w:sz w:val="24"/>
          <w:szCs w:val="24"/>
        </w:rPr>
      </w:pPr>
      <w:r>
        <w:rPr>
          <w:rFonts w:hint="eastAsia" w:ascii="宋体" w:hAnsi="宋体"/>
          <w:b/>
          <w:sz w:val="24"/>
          <w:szCs w:val="24"/>
        </w:rPr>
        <w:t xml:space="preserve">附件2 投标分项报价表（采购包号：XX）</w:t>
      </w:r>
      <w:r>
        <w:rPr>
          <w:rFonts w:hint="eastAsia" w:ascii="宋体" w:hAnsi="宋体"/>
          <w:b/>
          <w:sz w:val="24"/>
          <w:szCs w:val="24"/>
        </w:rPr>
      </w:r>
      <w:r/>
    </w:p>
    <w:tbl>
      <w:tblPr>
        <w:tblW w:w="0" w:type="auto"/>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24"/>
        <w:gridCol w:w="846"/>
        <w:gridCol w:w="1060"/>
        <w:gridCol w:w="980"/>
        <w:gridCol w:w="1040"/>
        <w:gridCol w:w="1250"/>
        <w:gridCol w:w="860"/>
        <w:gridCol w:w="920"/>
        <w:gridCol w:w="861"/>
      </w:tblGrid>
      <w:tr>
        <w:trPr>
          <w:cantSplit/>
          <w:trHeight w:val="544"/>
        </w:trPr>
        <w:tc>
          <w:tcPr>
            <w:tcW w:w="720" w:type="dxa"/>
            <w:vAlign w:val="top"/>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1324"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846"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06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98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04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25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86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92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861"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r>
      <w:tr>
        <w:trPr>
          <w:cantSplit/>
          <w:trHeight w:val="294"/>
        </w:trPr>
        <w:tc>
          <w:tcPr>
            <w:tcW w:w="72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324" w:type="dxa"/>
            <w:vAlign w:val="center"/>
            <w:textDirection w:val="lrTb"/>
            <w:noWrap w:val="false"/>
          </w:tcPr>
          <w:p>
            <w:pPr>
              <w:pStyle w:val="887"/>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分项服务名称/货物名称</w:t>
            </w:r>
            <w:r>
              <w:rPr>
                <w:rFonts w:hint="eastAsia" w:ascii="宋体" w:hAnsi="宋体" w:eastAsia="宋体" w:cs="宋体"/>
                <w:color w:val="000000"/>
                <w:sz w:val="24"/>
                <w:szCs w:val="24"/>
              </w:rPr>
            </w:r>
            <w:r/>
          </w:p>
        </w:tc>
        <w:tc>
          <w:tcPr>
            <w:tcW w:w="846"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品牌</w:t>
            </w:r>
            <w:r>
              <w:rPr>
                <w:rFonts w:hint="eastAsia" w:ascii="宋体" w:hAnsi="宋体" w:eastAsia="宋体" w:cs="宋体"/>
                <w:color w:val="000000"/>
                <w:sz w:val="24"/>
                <w:szCs w:val="24"/>
              </w:rPr>
            </w:r>
            <w:r/>
          </w:p>
        </w:tc>
        <w:tc>
          <w:tcPr>
            <w:tcW w:w="106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w:t>
            </w:r>
            <w:r>
              <w:rPr>
                <w:rFonts w:hint="eastAsia" w:ascii="宋体" w:hAnsi="宋体" w:eastAsia="宋体" w:cs="宋体"/>
                <w:color w:val="000000"/>
                <w:sz w:val="24"/>
                <w:szCs w:val="24"/>
              </w:rPr>
            </w:r>
            <w:r/>
          </w:p>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型号</w:t>
            </w:r>
            <w:r>
              <w:rPr>
                <w:rFonts w:hint="eastAsia" w:ascii="宋体" w:hAnsi="宋体" w:eastAsia="宋体" w:cs="宋体"/>
                <w:color w:val="000000"/>
                <w:sz w:val="24"/>
                <w:szCs w:val="24"/>
              </w:rPr>
            </w:r>
            <w:r/>
          </w:p>
        </w:tc>
        <w:tc>
          <w:tcPr>
            <w:tcW w:w="98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制造商名称</w:t>
            </w:r>
            <w:r>
              <w:rPr>
                <w:rFonts w:hint="eastAsia" w:ascii="宋体" w:hAnsi="宋体" w:eastAsia="宋体" w:cs="宋体"/>
                <w:color w:val="000000"/>
                <w:sz w:val="24"/>
                <w:szCs w:val="24"/>
              </w:rPr>
            </w:r>
            <w:r/>
          </w:p>
        </w:tc>
        <w:tc>
          <w:tcPr>
            <w:tcW w:w="104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产地</w:t>
            </w:r>
            <w:r>
              <w:rPr>
                <w:rFonts w:hint="eastAsia" w:ascii="宋体" w:hAnsi="宋体" w:eastAsia="宋体" w:cs="宋体"/>
                <w:color w:val="000000"/>
                <w:sz w:val="24"/>
                <w:szCs w:val="24"/>
              </w:rPr>
            </w:r>
            <w:r/>
          </w:p>
        </w:tc>
        <w:tc>
          <w:tcPr>
            <w:tcW w:w="125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交付期/服务期</w:t>
            </w:r>
            <w:r>
              <w:rPr>
                <w:rFonts w:hint="eastAsia" w:ascii="宋体" w:hAnsi="宋体" w:eastAsia="宋体" w:cs="宋体"/>
                <w:color w:val="000000"/>
                <w:sz w:val="24"/>
                <w:szCs w:val="24"/>
              </w:rPr>
            </w:r>
            <w:r/>
          </w:p>
        </w:tc>
        <w:tc>
          <w:tcPr>
            <w:tcW w:w="86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hint="eastAsia" w:ascii="宋体" w:hAnsi="宋体" w:eastAsia="宋体" w:cs="宋体"/>
                <w:color w:val="000000"/>
                <w:sz w:val="24"/>
                <w:szCs w:val="24"/>
              </w:rPr>
            </w:r>
            <w:r/>
          </w:p>
        </w:tc>
        <w:tc>
          <w:tcPr>
            <w:tcW w:w="92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w:t>
            </w:r>
            <w:r>
              <w:rPr>
                <w:rFonts w:hint="eastAsia" w:ascii="宋体" w:hAnsi="宋体" w:eastAsia="宋体" w:cs="宋体"/>
                <w:color w:val="000000"/>
                <w:sz w:val="24"/>
                <w:szCs w:val="24"/>
              </w:rPr>
            </w:r>
            <w:r/>
          </w:p>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w:t>
            </w:r>
            <w:r>
              <w:rPr>
                <w:rFonts w:hint="eastAsia" w:ascii="宋体" w:hAnsi="宋体" w:eastAsia="宋体" w:cs="宋体"/>
                <w:color w:val="000000"/>
                <w:sz w:val="24"/>
                <w:szCs w:val="24"/>
              </w:rPr>
            </w:r>
            <w:r/>
          </w:p>
        </w:tc>
        <w:tc>
          <w:tcPr>
            <w:tcW w:w="861"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w:t>
            </w:r>
            <w:r>
              <w:rPr>
                <w:rFonts w:hint="eastAsia" w:ascii="宋体" w:hAnsi="宋体" w:eastAsia="宋体" w:cs="宋体"/>
                <w:color w:val="000000"/>
                <w:sz w:val="24"/>
                <w:szCs w:val="24"/>
              </w:rPr>
            </w:r>
            <w:r/>
          </w:p>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w:t>
            </w:r>
            <w:r>
              <w:rPr>
                <w:rFonts w:hint="eastAsia" w:ascii="宋体" w:hAnsi="宋体" w:eastAsia="宋体" w:cs="宋体"/>
                <w:color w:val="000000"/>
                <w:sz w:val="24"/>
                <w:szCs w:val="24"/>
              </w:rPr>
            </w:r>
            <w:r/>
          </w:p>
        </w:tc>
      </w:tr>
      <w:tr>
        <w:trPr>
          <w:cantSplit/>
          <w:trHeight w:val="696"/>
        </w:trPr>
        <w:tc>
          <w:tcPr>
            <w:tcW w:w="72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324"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887"/>
              <w:jc w:val="center"/>
              <w:spacing w:line="0" w:lineRule="atLeast"/>
              <w:rPr>
                <w:rFonts w:hint="eastAsia" w:ascii="宋体" w:hAnsi="宋体" w:eastAsia="宋体" w:cs="宋体"/>
                <w:color w:val="000000"/>
                <w:sz w:val="24"/>
                <w:szCs w:val="24"/>
                <w:highlight w:val="cyan"/>
              </w:rPr>
            </w:pPr>
            <w:r>
              <w:rPr>
                <w:rFonts w:hint="eastAsia" w:ascii="宋体" w:hAnsi="宋体" w:eastAsia="宋体" w:cs="宋体"/>
                <w:color w:val="000000"/>
                <w:sz w:val="24"/>
                <w:szCs w:val="24"/>
                <w:highlight w:val="cyan"/>
              </w:rPr>
            </w:r>
            <w:r/>
          </w:p>
        </w:tc>
        <w:tc>
          <w:tcPr>
            <w:tcW w:w="1040" w:type="dxa"/>
            <w:vAlign w:val="top"/>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887"/>
              <w:jc w:val="center"/>
              <w:spacing w:line="0" w:lineRule="atLeas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u w:val="single"/>
              </w:rPr>
            </w:r>
            <w:r/>
          </w:p>
        </w:tc>
        <w:tc>
          <w:tcPr>
            <w:tcW w:w="86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724"/>
        </w:trPr>
        <w:tc>
          <w:tcPr>
            <w:tcW w:w="72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324"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72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324"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80"/>
        </w:trPr>
        <w:tc>
          <w:tcPr>
            <w:tcW w:w="72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1324"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846"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88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34"/>
        </w:trPr>
        <w:tc>
          <w:tcPr>
            <w:gridSpan w:val="10"/>
            <w:tcW w:w="9861" w:type="dxa"/>
            <w:vAlign w:val="top"/>
            <w:textDirection w:val="lrTb"/>
            <w:noWrap w:val="false"/>
          </w:tcPr>
          <w:p>
            <w:pPr>
              <w:pStyle w:val="887"/>
              <w:spacing w:line="0" w:lineRule="atLeas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投标总报价（人民币：元）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tc>
      </w:tr>
      <w:tr>
        <w:trPr>
          <w:cantSplit/>
          <w:trHeight w:val="757"/>
        </w:trPr>
        <w:tc>
          <w:tcPr>
            <w:gridSpan w:val="10"/>
            <w:tcW w:w="9861" w:type="dxa"/>
            <w:vAlign w:val="top"/>
            <w:textDirection w:val="lrTb"/>
            <w:noWrap w:val="false"/>
          </w:tcPr>
          <w:p>
            <w:pPr>
              <w:pStyle w:val="941"/>
              <w:spacing w:before="0" w:beforeAutospacing="0" w:after="0" w:afterAutospacing="0"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本采购包中提供的符合本国产品标准的货物成本之和占该采购包全部成本之和的比例为</w:t>
            </w:r>
            <w:r>
              <w:rPr>
                <w:rFonts w:hint="eastAsia" w:ascii="宋体" w:hAnsi="宋体" w:eastAsia="宋体" w:cs="宋体"/>
                <w:color w:val="000000"/>
                <w:sz w:val="24"/>
                <w:szCs w:val="24"/>
                <w:u w:val="single"/>
              </w:rPr>
              <w:t xml:space="preserve">XX</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bl>
    <w:p>
      <w:pPr>
        <w:pStyle w:val="887"/>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p>
      <w:pPr>
        <w:pStyle w:val="887"/>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宋体" w:hAnsi="宋体" w:eastAsia="宋体" w:cs="宋体"/>
          <w:color w:val="000000"/>
          <w:sz w:val="24"/>
          <w:szCs w:val="24"/>
        </w:rPr>
      </w:r>
      <w:r/>
    </w:p>
    <w:p>
      <w:pPr>
        <w:pStyle w:val="887"/>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2.“投标分项报价表”中“投标总报价”数额应当与“开标一览表”中“投标总报价”数额一致。</w:t>
      </w:r>
      <w:r>
        <w:rPr>
          <w:rFonts w:hint="eastAsia" w:ascii="宋体" w:hAnsi="宋体" w:eastAsia="宋体" w:cs="宋体"/>
          <w:color w:val="000000"/>
          <w:sz w:val="24"/>
          <w:szCs w:val="24"/>
        </w:rPr>
      </w:r>
      <w:r/>
    </w:p>
    <w:p>
      <w:pPr>
        <w:pStyle w:val="887"/>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3.分项服务不需填写品牌、规格型号、制造商、产地。</w:t>
      </w:r>
      <w:r>
        <w:rPr>
          <w:rFonts w:hint="eastAsia" w:ascii="宋体" w:hAnsi="宋体" w:eastAsia="宋体" w:cs="宋体"/>
          <w:color w:val="000000"/>
          <w:sz w:val="24"/>
          <w:szCs w:val="24"/>
        </w:rPr>
      </w:r>
      <w:r/>
    </w:p>
    <w:p>
      <w:pPr>
        <w:pStyle w:val="887"/>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hint="eastAsia" w:ascii="宋体" w:hAnsi="宋体" w:eastAsia="宋体" w:cs="宋体"/>
          <w:color w:val="000000"/>
          <w:sz w:val="24"/>
          <w:szCs w:val="24"/>
        </w:rPr>
      </w:r>
      <w:r/>
    </w:p>
    <w:p>
      <w:pPr>
        <w:pStyle w:val="887"/>
        <w:ind w:firstLine="482"/>
        <w:spacing w:line="560" w:lineRule="exact"/>
        <w:rPr>
          <w:rFonts w:hint="eastAsia" w:ascii="方正仿宋_GBK" w:hAnsi="方正仿宋_GBK" w:eastAsia="方正仿宋_GBK" w:cs="方正仿宋_GBK"/>
          <w:sz w:val="32"/>
          <w:szCs w:val="32"/>
          <w:highlight w:val="yellow"/>
        </w:rPr>
      </w:pPr>
      <w:r>
        <w:rPr>
          <w:rFonts w:hint="eastAsia" w:ascii="宋体" w:hAnsi="宋体" w:eastAsia="宋体" w:cs="宋体"/>
          <w:color w:val="000000"/>
          <w:sz w:val="24"/>
          <w:szCs w:val="24"/>
        </w:rPr>
        <w:t xml:space="preserve">5.项目经办人可以根据项目实际需要对表格结构进行调整。</w:t>
      </w:r>
      <w:r>
        <w:rPr>
          <w:rFonts w:hint="eastAsia" w:ascii="方正仿宋_GBK" w:hAnsi="方正仿宋_GBK" w:eastAsia="方正仿宋_GBK" w:cs="方正仿宋_GBK"/>
          <w:sz w:val="32"/>
          <w:szCs w:val="32"/>
          <w:highlight w:val="yellow"/>
        </w:rPr>
      </w:r>
      <w:r/>
    </w:p>
    <w:p>
      <w:pPr>
        <w:pStyle w:val="887"/>
        <w:spacing w:line="0" w:lineRule="atLeast"/>
        <w:rPr>
          <w:rFonts w:ascii="宋体" w:hAnsi="宋体"/>
          <w:sz w:val="24"/>
          <w:szCs w:val="24"/>
        </w:rPr>
      </w:pPr>
      <w:r>
        <w:rPr>
          <w:rFonts w:ascii="宋体" w:hAnsi="宋体"/>
          <w:sz w:val="24"/>
          <w:szCs w:val="24"/>
        </w:rPr>
      </w:r>
      <w:r/>
    </w:p>
    <w:p>
      <w:pPr>
        <w:pStyle w:val="887"/>
        <w:spacing w:line="0" w:lineRule="atLeast"/>
        <w:rPr>
          <w:rFonts w:ascii="宋体" w:hAnsi="宋体"/>
          <w:sz w:val="24"/>
          <w:szCs w:val="24"/>
        </w:rPr>
      </w:pPr>
      <w:r>
        <w:rPr>
          <w:rFonts w:ascii="宋体" w:hAnsi="宋体"/>
          <w:sz w:val="24"/>
          <w:szCs w:val="24"/>
        </w:rPr>
      </w:r>
      <w:r/>
    </w:p>
    <w:p>
      <w:pPr>
        <w:pStyle w:val="887"/>
        <w:jc w:val="center"/>
        <w:spacing w:line="0" w:lineRule="atLeast"/>
        <w:rPr>
          <w:rFonts w:hint="eastAsia" w:ascii="宋体" w:hAnsi="宋体" w:cs="宋体"/>
          <w:b/>
          <w:sz w:val="24"/>
          <w:szCs w:val="24"/>
        </w:rPr>
      </w:pPr>
      <w:r>
        <w:rPr>
          <w:rFonts w:hint="eastAsia" w:ascii="宋体" w:hAnsi="宋体" w:cs="宋体"/>
          <w:b/>
          <w:sz w:val="24"/>
          <w:szCs w:val="24"/>
        </w:rPr>
        <w:t xml:space="preserve">人员工资、社会保险和公积金三项费用报价表（采购包号：**）</w:t>
      </w:r>
      <w:r>
        <w:rPr>
          <w:rFonts w:hint="eastAsia" w:ascii="宋体" w:hAnsi="宋体" w:cs="宋体"/>
          <w:b/>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20"/>
        <w:gridCol w:w="723"/>
        <w:gridCol w:w="965"/>
        <w:gridCol w:w="1122"/>
        <w:gridCol w:w="1135"/>
        <w:gridCol w:w="2885"/>
      </w:tblGrid>
      <w:tr>
        <w:trPr>
          <w:trHeight w:val="369"/>
        </w:trPr>
        <w:tc>
          <w:tcPr>
            <w:tcW w:w="615"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1135"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总价1</w:t>
            </w:r>
            <w:r>
              <w:rPr>
                <w:rFonts w:hint="eastAsia" w:ascii="宋体" w:hAnsi="宋体" w:cs="宋体"/>
                <w:b/>
                <w:bCs/>
                <w:sz w:val="24"/>
                <w:szCs w:val="24"/>
              </w:rPr>
            </w:r>
            <w:r/>
          </w:p>
        </w:tc>
        <w:tc>
          <w:tcPr>
            <w:tcW w:w="2885" w:type="dxa"/>
            <w:vAlign w:val="center"/>
            <w:vMerge w:val="restart"/>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369"/>
        </w:trPr>
        <w:tc>
          <w:tcPr>
            <w:tcW w:w="615"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r>
            <w:r/>
          </w:p>
        </w:tc>
        <w:tc>
          <w:tcPr>
            <w:tcW w:w="1520"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人员工资</w:t>
            </w:r>
            <w:r>
              <w:rPr>
                <w:rFonts w:hint="eastAsia" w:ascii="宋体" w:hAnsi="宋体" w:cs="宋体"/>
                <w:b/>
                <w:bCs/>
                <w:sz w:val="24"/>
                <w:szCs w:val="24"/>
              </w:rPr>
            </w:r>
            <w:r/>
          </w:p>
        </w:tc>
        <w:tc>
          <w:tcPr>
            <w:tcW w:w="723"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887"/>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W w:w="1520"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723" w:type="dxa"/>
            <w:vAlign w:val="center"/>
            <w:textDirection w:val="lrTb"/>
            <w:noWrap w:val="false"/>
          </w:tcPr>
          <w:p>
            <w:pPr>
              <w:pStyle w:val="887"/>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887"/>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887"/>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887"/>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887"/>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r>
            <w:r/>
          </w:p>
        </w:tc>
        <w:tc>
          <w:tcPr>
            <w:tcW w:w="1520"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723" w:type="dxa"/>
            <w:vAlign w:val="center"/>
            <w:textDirection w:val="lrTb"/>
            <w:noWrap w:val="false"/>
          </w:tcPr>
          <w:p>
            <w:pPr>
              <w:pStyle w:val="887"/>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887"/>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887"/>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887"/>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887"/>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r>
            <w:r/>
          </w:p>
        </w:tc>
        <w:tc>
          <w:tcPr>
            <w:tcW w:w="1520"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723" w:type="dxa"/>
            <w:vAlign w:val="center"/>
            <w:textDirection w:val="lrTb"/>
            <w:noWrap w:val="false"/>
          </w:tcPr>
          <w:p>
            <w:pPr>
              <w:pStyle w:val="887"/>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887"/>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887"/>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887"/>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887"/>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887"/>
              <w:jc w:val="left"/>
              <w:spacing w:line="0" w:lineRule="atLeast"/>
              <w:rPr>
                <w:rFonts w:hint="eastAsia" w:ascii="宋体" w:hAnsi="宋体" w:cs="宋体"/>
                <w:b/>
                <w:sz w:val="24"/>
                <w:szCs w:val="24"/>
              </w:rPr>
            </w:pPr>
            <w:r>
              <w:rPr>
                <w:rFonts w:hint="eastAsia" w:ascii="宋体" w:hAnsi="宋体" w:cs="宋体"/>
                <w:b/>
                <w:sz w:val="24"/>
                <w:szCs w:val="24"/>
              </w:rPr>
              <w:t xml:space="preserve">分项总价1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b/>
                <w:sz w:val="24"/>
                <w:szCs w:val="24"/>
              </w:rPr>
            </w:r>
            <w:r/>
          </w:p>
        </w:tc>
      </w:tr>
      <w:tr>
        <w:trPr>
          <w:trHeight w:val="369"/>
        </w:trPr>
        <w:tc>
          <w:tcPr>
            <w:tcW w:w="615"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 期 限</w:t>
            </w:r>
            <w:r>
              <w:rPr>
                <w:rFonts w:hint="eastAsia" w:ascii="宋体" w:hAnsi="宋体" w:cs="宋体"/>
                <w:b/>
                <w:bCs/>
                <w:sz w:val="24"/>
                <w:szCs w:val="24"/>
              </w:rPr>
            </w:r>
            <w:r/>
          </w:p>
        </w:tc>
        <w:tc>
          <w:tcPr>
            <w:tcW w:w="1135"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总价2</w:t>
            </w:r>
            <w:r>
              <w:rPr>
                <w:rFonts w:hint="eastAsia" w:ascii="宋体" w:hAnsi="宋体" w:cs="宋体"/>
                <w:b/>
                <w:bCs/>
                <w:sz w:val="24"/>
                <w:szCs w:val="24"/>
              </w:rPr>
            </w:r>
            <w:r/>
          </w:p>
        </w:tc>
        <w:tc>
          <w:tcPr>
            <w:tcW w:w="2885" w:type="dxa"/>
            <w:vAlign w:val="center"/>
            <w:vMerge w:val="restart"/>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628"/>
        </w:trPr>
        <w:tc>
          <w:tcPr>
            <w:tcW w:w="615"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r>
            <w:r/>
          </w:p>
        </w:tc>
        <w:tc>
          <w:tcPr>
            <w:tcW w:w="1520"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社会保险</w:t>
            </w:r>
            <w:r>
              <w:rPr>
                <w:rFonts w:hint="eastAsia" w:ascii="宋体" w:hAnsi="宋体" w:cs="宋体"/>
                <w:b/>
                <w:bCs/>
                <w:sz w:val="24"/>
                <w:szCs w:val="24"/>
              </w:rPr>
            </w:r>
            <w:r/>
          </w:p>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费用</w:t>
            </w:r>
            <w:r>
              <w:rPr>
                <w:rFonts w:hint="eastAsia" w:ascii="宋体" w:hAnsi="宋体" w:cs="宋体"/>
                <w:b/>
                <w:bCs/>
                <w:sz w:val="24"/>
                <w:szCs w:val="24"/>
              </w:rPr>
            </w:r>
            <w:r/>
          </w:p>
        </w:tc>
        <w:tc>
          <w:tcPr>
            <w:tcW w:w="723" w:type="dxa"/>
            <w:vAlign w:val="center"/>
            <w:textDirection w:val="lrTb"/>
            <w:noWrap w:val="false"/>
          </w:tcPr>
          <w:p>
            <w:pPr>
              <w:pStyle w:val="887"/>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887"/>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887"/>
              <w:jc w:val="left"/>
              <w:spacing w:line="0" w:lineRule="atLeast"/>
              <w:rPr>
                <w:rFonts w:hint="eastAsia" w:ascii="宋体" w:hAnsi="宋体" w:cs="宋体"/>
                <w:i/>
                <w:sz w:val="24"/>
                <w:szCs w:val="24"/>
                <w:u w:val="single"/>
              </w:rPr>
            </w:pPr>
            <w:r>
              <w:rPr>
                <w:rFonts w:hint="eastAsia" w:ascii="宋体" w:hAnsi="宋体" w:cs="宋体"/>
                <w:i/>
                <w:sz w:val="24"/>
                <w:szCs w:val="24"/>
                <w:u w:val="single"/>
              </w:rPr>
            </w:r>
            <w:r/>
          </w:p>
        </w:tc>
      </w:tr>
      <w:tr>
        <w:trPr>
          <w:trHeight w:val="563"/>
        </w:trPr>
        <w:tc>
          <w:tcPr>
            <w:tcW w:w="615"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r>
            <w:r/>
          </w:p>
        </w:tc>
        <w:tc>
          <w:tcPr>
            <w:tcW w:w="1520"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723"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887"/>
              <w:jc w:val="center"/>
              <w:spacing w:line="0" w:lineRule="atLeast"/>
              <w:widowControl/>
              <w:rPr>
                <w:rFonts w:hint="eastAsia" w:ascii="宋体" w:hAnsi="宋体" w:cs="宋体"/>
              </w:rPr>
            </w:pPr>
            <w:r>
              <w:rPr>
                <w:rFonts w:hint="eastAsia" w:ascii="宋体" w:hAnsi="宋体" w:cs="宋体"/>
              </w:rPr>
              <w:t xml:space="preserve">该人员正常缴纳社会保险/</w:t>
            </w:r>
            <w:r>
              <w:rPr>
                <w:rFonts w:hint="eastAsia" w:ascii="宋体" w:hAnsi="宋体" w:cs="宋体"/>
              </w:rPr>
            </w:r>
            <w:r/>
          </w:p>
          <w:p>
            <w:pPr>
              <w:pStyle w:val="887"/>
              <w:jc w:val="left"/>
              <w:spacing w:line="0" w:lineRule="atLeast"/>
              <w:rPr>
                <w:rFonts w:hint="eastAsia" w:ascii="宋体" w:hAnsi="宋体" w:cs="宋体"/>
              </w:rPr>
            </w:pPr>
            <w:r>
              <w:rPr>
                <w:rFonts w:hint="eastAsia" w:ascii="宋体" w:hAnsi="宋体" w:cs="宋体"/>
                <w:iCs/>
              </w:rPr>
              <w:t xml:space="preserve">如该人员依法享受社会保险费用缴纳减免政策，请在此框内进行说明</w:t>
            </w:r>
            <w:r>
              <w:rPr>
                <w:rFonts w:hint="eastAsia" w:ascii="宋体" w:hAnsi="宋体" w:cs="宋体"/>
              </w:rPr>
            </w:r>
            <w:r/>
          </w:p>
        </w:tc>
      </w:tr>
      <w:tr>
        <w:trPr>
          <w:trHeight w:val="261"/>
        </w:trPr>
        <w:tc>
          <w:tcPr>
            <w:tcW w:w="615"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r>
            <w:r/>
          </w:p>
        </w:tc>
        <w:tc>
          <w:tcPr>
            <w:tcW w:w="1520"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723"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887"/>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261"/>
        </w:trPr>
        <w:tc>
          <w:tcPr>
            <w:tcW w:w="615"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520"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723"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887"/>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261"/>
        </w:trPr>
        <w:tc>
          <w:tcPr>
            <w:gridSpan w:val="7"/>
            <w:tcW w:w="8965" w:type="dxa"/>
            <w:vAlign w:val="center"/>
            <w:textDirection w:val="lrTb"/>
            <w:noWrap w:val="false"/>
          </w:tcPr>
          <w:p>
            <w:pPr>
              <w:pStyle w:val="887"/>
              <w:jc w:val="left"/>
              <w:spacing w:line="0" w:lineRule="atLeast"/>
              <w:rPr>
                <w:rFonts w:hint="eastAsia" w:ascii="宋体" w:hAnsi="宋体" w:cs="宋体"/>
                <w:b/>
                <w:sz w:val="24"/>
                <w:szCs w:val="24"/>
              </w:rPr>
            </w:pPr>
            <w:r>
              <w:rPr>
                <w:rFonts w:hint="eastAsia" w:ascii="宋体" w:hAnsi="宋体" w:cs="宋体"/>
                <w:b/>
                <w:sz w:val="24"/>
                <w:szCs w:val="24"/>
              </w:rPr>
              <w:t xml:space="preserve">分项总价2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b/>
                <w:sz w:val="24"/>
                <w:szCs w:val="24"/>
              </w:rPr>
            </w:r>
            <w:r/>
          </w:p>
        </w:tc>
      </w:tr>
      <w:tr>
        <w:trPr>
          <w:trHeight w:val="261"/>
        </w:trPr>
        <w:tc>
          <w:tcPr>
            <w:tcW w:w="615"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1135"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总价3</w:t>
            </w:r>
            <w:r>
              <w:rPr>
                <w:rFonts w:hint="eastAsia" w:ascii="宋体" w:hAnsi="宋体" w:cs="宋体"/>
                <w:b/>
                <w:bCs/>
                <w:sz w:val="24"/>
                <w:szCs w:val="24"/>
              </w:rPr>
            </w:r>
            <w:r/>
          </w:p>
        </w:tc>
        <w:tc>
          <w:tcPr>
            <w:tcW w:w="2885" w:type="dxa"/>
            <w:vAlign w:val="center"/>
            <w:vMerge w:val="restart"/>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261"/>
        </w:trPr>
        <w:tc>
          <w:tcPr>
            <w:tcW w:w="615" w:type="dxa"/>
            <w:vAlign w:val="center"/>
            <w:textDirection w:val="lrTb"/>
            <w:noWrap w:val="false"/>
          </w:tcPr>
          <w:p>
            <w:pPr>
              <w:pStyle w:val="887"/>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3</w:t>
            </w:r>
            <w:r>
              <w:rPr>
                <w:rFonts w:hint="eastAsia" w:ascii="宋体" w:hAnsi="宋体" w:cs="宋体"/>
                <w:b/>
                <w:sz w:val="24"/>
                <w:szCs w:val="24"/>
              </w:rPr>
            </w:r>
            <w:r/>
          </w:p>
        </w:tc>
        <w:tc>
          <w:tcPr>
            <w:tcW w:w="1520" w:type="dxa"/>
            <w:vAlign w:val="center"/>
            <w:textDirection w:val="lrTb"/>
            <w:noWrap w:val="false"/>
          </w:tcPr>
          <w:p>
            <w:pPr>
              <w:pStyle w:val="887"/>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住房公积金</w:t>
            </w:r>
            <w:r>
              <w:rPr>
                <w:rFonts w:hint="eastAsia" w:ascii="宋体" w:hAnsi="宋体" w:cs="宋体"/>
                <w:b/>
                <w:sz w:val="24"/>
                <w:szCs w:val="24"/>
              </w:rPr>
            </w:r>
            <w:r/>
          </w:p>
        </w:tc>
        <w:tc>
          <w:tcPr>
            <w:tcW w:w="723" w:type="dxa"/>
            <w:vAlign w:val="center"/>
            <w:textDirection w:val="lrTb"/>
            <w:noWrap w:val="false"/>
          </w:tcPr>
          <w:p>
            <w:pPr>
              <w:pStyle w:val="887"/>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887"/>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887"/>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887"/>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369"/>
        </w:trPr>
        <w:tc>
          <w:tcPr>
            <w:tcW w:w="615"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r>
            <w:r/>
          </w:p>
        </w:tc>
        <w:tc>
          <w:tcPr>
            <w:tcW w:w="1520"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723"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887"/>
              <w:jc w:val="center"/>
              <w:spacing w:line="0" w:lineRule="atLeast"/>
              <w:widowControl/>
              <w:rPr>
                <w:rFonts w:hint="eastAsia" w:ascii="宋体" w:hAnsi="宋体" w:cs="宋体"/>
                <w:i/>
                <w:u w:val="single"/>
              </w:rPr>
            </w:pPr>
            <w:r>
              <w:rPr>
                <w:rFonts w:hint="eastAsia" w:ascii="宋体" w:hAnsi="宋体" w:cs="宋体"/>
              </w:rPr>
              <w:t xml:space="preserve">该人员正常缴存住房公积金/</w:t>
            </w:r>
            <w:r>
              <w:rPr>
                <w:rFonts w:hint="eastAsia" w:ascii="宋体" w:hAnsi="宋体" w:cs="宋体"/>
                <w:i/>
                <w:u w:val="single"/>
              </w:rPr>
            </w:r>
            <w:r/>
          </w:p>
          <w:p>
            <w:pPr>
              <w:pStyle w:val="887"/>
              <w:jc w:val="left"/>
              <w:spacing w:line="0" w:lineRule="atLeast"/>
              <w:rPr>
                <w:rFonts w:hint="eastAsia" w:ascii="宋体" w:hAnsi="宋体" w:cs="宋体"/>
                <w:i/>
                <w:u w:val="single"/>
              </w:rPr>
            </w:pPr>
            <w:r>
              <w:rPr>
                <w:rFonts w:hint="eastAsia" w:ascii="宋体" w:hAnsi="宋体" w:cs="宋体"/>
                <w:iCs/>
              </w:rPr>
              <w:t xml:space="preserve">如该人员依法享受住房公积金缴存减免政策，请在此框内进行说明</w:t>
            </w:r>
            <w:r>
              <w:rPr>
                <w:rFonts w:hint="eastAsia" w:ascii="宋体" w:hAnsi="宋体" w:cs="宋体"/>
                <w:i/>
                <w:u w:val="single"/>
              </w:rPr>
            </w:r>
            <w:r/>
          </w:p>
        </w:tc>
      </w:tr>
      <w:tr>
        <w:trPr>
          <w:trHeight w:val="369"/>
        </w:trPr>
        <w:tc>
          <w:tcPr>
            <w:tcW w:w="615"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r>
            <w:r/>
          </w:p>
        </w:tc>
        <w:tc>
          <w:tcPr>
            <w:tcW w:w="1520"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723"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887"/>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520"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723"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87"/>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887"/>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887"/>
              <w:jc w:val="left"/>
              <w:spacing w:line="0" w:lineRule="atLeast"/>
              <w:widowControl/>
              <w:rPr>
                <w:rFonts w:hint="eastAsia"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sz w:val="24"/>
                <w:szCs w:val="24"/>
              </w:rPr>
            </w:r>
            <w:r/>
          </w:p>
        </w:tc>
      </w:tr>
    </w:tbl>
    <w:p>
      <w:pPr>
        <w:pStyle w:val="887"/>
        <w:spacing w:line="0" w:lineRule="atLeas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887"/>
        <w:spacing w:line="0" w:lineRule="atLeast"/>
        <w:rPr>
          <w:rFonts w:hint="eastAsia"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rPr>
          <w:rFonts w:hint="eastAsia" w:ascii="宋体" w:hAnsi="宋体" w:cs="宋体"/>
          <w:iCs/>
          <w:sz w:val="24"/>
          <w:szCs w:val="24"/>
        </w:rPr>
      </w:r>
      <w:r/>
    </w:p>
    <w:p>
      <w:pPr>
        <w:pStyle w:val="887"/>
        <w:spacing w:line="0" w:lineRule="atLeast"/>
        <w:rPr>
          <w:rFonts w:hint="eastAsia"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rPr>
          <w:rFonts w:hint="eastAsia" w:ascii="宋体" w:hAnsi="宋体" w:cs="宋体"/>
          <w:i/>
          <w:sz w:val="24"/>
          <w:szCs w:val="24"/>
          <w:u w:val="singl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3.两个分包的分项报价请参考以下详细表格的价格组成（只需填写2-1表格并按3年服务周期分项报价）。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分包号1 分项报价参考表（按3年服务周期分项报价）</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5"/>
        <w:gridCol w:w="477"/>
        <w:gridCol/>
        <w:gridCol w:w="1616"/>
        <w:gridCol w:w="477"/>
        <w:gridCol w:w="818"/>
        <w:gridCol w:w="1268"/>
        <w:gridCol w:w="924"/>
        <w:gridCol w:w="2142"/>
      </w:tblGrid>
      <w:tr>
        <w:trPr>
          <w:trHeight w:val="8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单价金额</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测算依据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人员工资</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项目经理岗人员工资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见岗位表报价</w:t>
            </w:r>
            <w:r/>
          </w:p>
        </w:tc>
      </w:tr>
      <w:tr>
        <w:trPr>
          <w:trHeight w:val="450"/>
        </w:trPr>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楼宇管理员岗、综合维修工岗、保洁岗人员工资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8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加班费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国家法定假日（</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春节、中秋节等福利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社会保险（五险）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年扬州市人社部门规定的扬州地区社保最低基数</w:t>
            </w:r>
            <w:r/>
          </w:p>
        </w:tc>
      </w:tr>
      <w:tr>
        <w:trPr>
          <w:trHeight w:val="6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公积金</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4"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5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w:t>
            </w: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项的和</w:t>
            </w:r>
            <w:r/>
          </w:p>
        </w:tc>
      </w:tr>
      <w:tr>
        <w:trPr>
          <w:trHeight w:val="4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易耗品（服装费、办公用品、保洁用品）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参考项目需求</w:t>
            </w:r>
            <w:r>
              <w:rPr>
                <w:rFonts w:ascii="SimSun" w:hAnsi="SimSun" w:eastAsia="SimSun" w:cs="SimSun"/>
                <w:color w:val="000000"/>
                <w:sz w:val="21"/>
              </w:rPr>
              <w:t xml:space="preserve">第七条特别说明</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维修耗材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9项之和</w:t>
            </w:r>
            <w:r/>
          </w:p>
        </w:tc>
      </w:tr>
      <w:tr>
        <w:trPr>
          <w:trHeight w:val="4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管理利润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税费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按法定税率测算：一般纳税人按</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测算；小规模纳税人按政策测算，应考虑整个项目的生命周期。</w:t>
            </w:r>
            <w:r/>
          </w:p>
        </w:tc>
      </w:tr>
      <w:tr>
        <w:trPr>
          <w:trHeight w:val="4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其它费用（投标人可自行添加）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可以缺项，该内容按项目报价（如需），须在报价说明中列明费用测算依据</w:t>
            </w:r>
            <w:r/>
          </w:p>
        </w:tc>
      </w:tr>
      <w:tr>
        <w:trPr>
          <w:trHeight w:val="45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开票数）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分包号2 分项报价参考表（按3年服务周期分项报价）</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4"/>
        <w:gridCol w:w="476"/>
        <w:gridCol/>
        <w:gridCol w:w="1295"/>
        <w:gridCol w:w="231"/>
        <w:gridCol w:w="524"/>
        <w:gridCol w:w="812"/>
        <w:gridCol w:w="1254"/>
        <w:gridCol w:w="915"/>
        <w:gridCol w:w="1854"/>
      </w:tblGrid>
      <w:tr>
        <w:trPr>
          <w:trHeight w:val="8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单价金额</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测算依据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人员工资</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项目经理岗人员工资</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见岗位表报价</w:t>
            </w:r>
            <w:r/>
          </w:p>
        </w:tc>
      </w:tr>
      <w:tr>
        <w:trPr>
          <w:trHeight w:val="450"/>
        </w:trPr>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4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楼宇管理员岗、综合维修工岗、保洁岗人员工资</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9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8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加班费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国家法定假日（</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天）</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春节、中秋节等福利</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社会保险（五险）</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年扬州市人社部门规定的扬州地区社保最低基数</w:t>
            </w:r>
            <w:r/>
          </w:p>
        </w:tc>
      </w:tr>
      <w:tr>
        <w:trPr>
          <w:trHeight w:val="6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公积金</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4" w:space="0"/>
            </w:tcBorders>
            <w:tcMar>
              <w:left w:w="108" w:type="dxa"/>
              <w:top w:w="0" w:type="dxa"/>
              <w:right w:w="108" w:type="dxa"/>
              <w:bottom w:w="0" w:type="dxa"/>
            </w:tcMar>
            <w:tcW w:w="9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5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小计</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w:t>
            </w: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项的和</w:t>
            </w:r>
            <w:r/>
          </w:p>
        </w:tc>
      </w:tr>
      <w:tr>
        <w:trPr>
          <w:trHeight w:val="4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易耗品（服装费、办公用品、保洁用品）</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参考项目需求</w:t>
            </w:r>
            <w:r>
              <w:rPr>
                <w:rFonts w:ascii="SimSun" w:hAnsi="SimSun" w:eastAsia="SimSun" w:cs="SimSun"/>
                <w:color w:val="000000"/>
                <w:sz w:val="21"/>
              </w:rPr>
              <w:t xml:space="preserve">第七条特别说明</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维修耗材</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9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9项之和</w:t>
            </w:r>
            <w:r/>
          </w:p>
        </w:tc>
      </w:tr>
      <w:tr>
        <w:trPr>
          <w:trHeight w:val="4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管理利润</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税费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按法定税率测算：一般纳税人按</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测算；小规模纳税人按政策测算，应考虑整个项目的生命周期。</w:t>
            </w:r>
            <w:r/>
          </w:p>
        </w:tc>
      </w:tr>
      <w:tr>
        <w:trPr>
          <w:trHeight w:val="4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其它费用（投标人可自行添加）</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可以缺项，该内容按项目报价（如需），须在报价说明中列明费用测算依据</w:t>
            </w:r>
            <w:r/>
          </w:p>
        </w:tc>
      </w:tr>
      <w:tr>
        <w:trPr>
          <w:trHeight w:val="45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开票数）</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887"/>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8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bl>
    <w:p>
      <w:pPr>
        <w:pStyle w:val="88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7"/>
        <w:spacing w:line="400" w:lineRule="exact"/>
        <w:rPr>
          <w:rFonts w:ascii="宋体" w:hAnsi="宋体"/>
          <w:sz w:val="24"/>
          <w:szCs w:val="24"/>
        </w:rPr>
      </w:pP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7"/>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87"/>
        <w:spacing w:line="400" w:lineRule="exact"/>
        <w:rPr>
          <w:rFonts w:hint="eastAsia" w:ascii="宋体" w:hAnsi="宋体"/>
          <w:sz w:val="24"/>
          <w:szCs w:val="24"/>
        </w:rPr>
      </w:pPr>
      <w:r>
        <w:rPr>
          <w:rFonts w:hint="eastAsia" w:ascii="宋体" w:hAnsi="宋体"/>
          <w:sz w:val="24"/>
          <w:szCs w:val="24"/>
        </w:rPr>
      </w:r>
      <w:r/>
    </w:p>
    <w:p>
      <w:pPr>
        <w:pStyle w:val="887"/>
        <w:spacing w:line="400" w:lineRule="exact"/>
        <w:rPr>
          <w:rFonts w:hint="eastAsia" w:ascii="宋体" w:hAnsi="宋体"/>
          <w:sz w:val="24"/>
          <w:szCs w:val="24"/>
        </w:rPr>
      </w:pPr>
      <w:r>
        <w:rPr>
          <w:rFonts w:hint="eastAsia" w:ascii="宋体" w:hAnsi="宋体"/>
          <w:sz w:val="24"/>
          <w:szCs w:val="24"/>
        </w:rPr>
      </w:r>
      <w:r/>
    </w:p>
    <w:p>
      <w:pPr>
        <w:pStyle w:val="88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bl>
    <w:p>
      <w:pPr>
        <w:pStyle w:val="88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7"/>
        <w:spacing w:line="400" w:lineRule="exact"/>
        <w:rPr>
          <w:rFonts w:ascii="宋体" w:hAnsi="宋体"/>
          <w:sz w:val="24"/>
          <w:szCs w:val="24"/>
        </w:rPr>
      </w:pP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7"/>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rPr>
          <w:rFonts w:hint="eastAsia" w:ascii="宋体" w:hAnsi="宋体" w:cs="宋体"/>
          <w:sz w:val="24"/>
          <w:szCs w:val="24"/>
        </w:rPr>
      </w:r>
      <w:r/>
    </w:p>
    <w:p>
      <w:pPr>
        <w:pStyle w:val="887"/>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87"/>
        <w:rPr>
          <w:rFonts w:hint="eastAsia" w:ascii="宋体" w:hAnsi="宋体"/>
          <w:b/>
          <w:sz w:val="24"/>
        </w:rPr>
      </w:pPr>
      <w:r>
        <w:rPr>
          <w:rFonts w:hint="eastAsia" w:ascii="宋体" w:hAnsi="宋体"/>
          <w:b/>
          <w:sz w:val="24"/>
        </w:rPr>
      </w:r>
      <w:r/>
    </w:p>
    <w:p>
      <w:pPr>
        <w:pStyle w:val="887"/>
        <w:ind w:firstLine="480"/>
        <w:spacing w:line="440" w:lineRule="exact"/>
        <w:rPr>
          <w:rFonts w:ascii="宋体" w:hAnsi="宋体"/>
          <w:sz w:val="24"/>
        </w:rPr>
      </w:pPr>
      <w:r>
        <w:rPr>
          <w:rFonts w:ascii="宋体" w:hAnsi="宋体"/>
          <w:sz w:val="24"/>
        </w:rPr>
      </w:r>
      <w:r/>
    </w:p>
    <w:p>
      <w:pPr>
        <w:pStyle w:val="887"/>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887"/>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887"/>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87"/>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87"/>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887"/>
        <w:ind w:left="480"/>
        <w:rPr>
          <w:rFonts w:ascii="宋体" w:hAnsi="宋体"/>
          <w:b/>
          <w:color w:val="000000"/>
          <w:sz w:val="24"/>
        </w:rPr>
      </w:pPr>
      <w:r>
        <w:rPr>
          <w:rFonts w:ascii="宋体" w:hAnsi="宋体"/>
          <w:b/>
          <w:color w:val="000000"/>
          <w:sz w:val="24"/>
        </w:rPr>
      </w:r>
      <w:r/>
    </w:p>
    <w:p>
      <w:pPr>
        <w:pStyle w:val="887"/>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887"/>
        <w:jc w:val="center"/>
        <w:spacing w:line="460" w:lineRule="exact"/>
        <w:rPr>
          <w:rFonts w:ascii="宋体" w:hAnsi="宋体"/>
          <w:b/>
          <w:bCs/>
          <w:color w:val="000000"/>
          <w:sz w:val="24"/>
        </w:rPr>
      </w:pPr>
      <w:r>
        <w:rPr>
          <w:rFonts w:ascii="宋体" w:hAnsi="宋体"/>
          <w:b/>
          <w:bCs/>
          <w:color w:val="000000"/>
          <w:sz w:val="24"/>
        </w:rPr>
      </w:r>
      <w:r/>
    </w:p>
    <w:p>
      <w:pPr>
        <w:pStyle w:val="887"/>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87"/>
        <w:ind w:left="480"/>
        <w:rPr>
          <w:rFonts w:ascii="宋体" w:hAnsi="宋体"/>
          <w:b/>
          <w:color w:val="ff0000"/>
          <w:sz w:val="24"/>
        </w:rPr>
      </w:pPr>
      <w:r>
        <w:rPr>
          <w:rFonts w:ascii="宋体" w:hAnsi="宋体"/>
          <w:b/>
          <w:color w:val="ff0000"/>
          <w:sz w:val="24"/>
        </w:rPr>
      </w:r>
      <w:r/>
    </w:p>
    <w:p>
      <w:pPr>
        <w:pStyle w:val="887"/>
        <w:ind w:firstLine="480"/>
        <w:spacing w:line="460" w:lineRule="exact"/>
        <w:rPr>
          <w:rFonts w:ascii="宋体" w:hAnsi="宋体"/>
          <w:b/>
          <w:color w:val="000000"/>
          <w:sz w:val="24"/>
        </w:rPr>
      </w:pPr>
      <w:r>
        <w:rPr>
          <w:rFonts w:ascii="宋体" w:hAnsi="宋体"/>
          <w:b/>
          <w:color w:val="000000"/>
          <w:sz w:val="24"/>
        </w:rPr>
      </w:r>
      <w:r/>
    </w:p>
    <w:p>
      <w:pPr>
        <w:pStyle w:val="887"/>
        <w:ind w:firstLine="480"/>
        <w:spacing w:line="460" w:lineRule="exact"/>
        <w:rPr>
          <w:rFonts w:ascii="宋体" w:hAnsi="宋体"/>
          <w:b/>
          <w:color w:val="000000"/>
          <w:sz w:val="24"/>
        </w:rPr>
      </w:pPr>
      <w:r>
        <w:rPr>
          <w:rFonts w:ascii="宋体" w:hAnsi="宋体"/>
          <w:b/>
          <w:color w:val="000000"/>
          <w:sz w:val="24"/>
        </w:rPr>
      </w:r>
      <w:r/>
    </w:p>
    <w:p>
      <w:pPr>
        <w:pStyle w:val="887"/>
        <w:ind w:firstLine="480"/>
        <w:spacing w:line="460" w:lineRule="exact"/>
        <w:rPr>
          <w:rFonts w:hint="eastAsia" w:ascii="宋体" w:hAnsi="宋体"/>
          <w:b/>
          <w:color w:val="000000"/>
          <w:sz w:val="24"/>
        </w:rPr>
      </w:pPr>
      <w:r>
        <w:rPr>
          <w:rFonts w:hint="eastAsia" w:ascii="宋体" w:hAnsi="宋体"/>
          <w:b/>
          <w:color w:val="000000"/>
          <w:sz w:val="24"/>
        </w:rPr>
      </w:r>
      <w:r/>
    </w:p>
    <w:p>
      <w:pPr>
        <w:pStyle w:val="887"/>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87"/>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887"/>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87"/>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87"/>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87"/>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887"/>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87"/>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87"/>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87"/>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887"/>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87"/>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1000"/>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1000"/>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100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0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rPr>
      </w:r>
      <w:r/>
    </w:p>
    <w:p>
      <w:pPr>
        <w:pStyle w:val="100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00"/>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00"/>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0"/>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00"/>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00"/>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00"/>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00"/>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87"/>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1000"/>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rPr>
          <w:rFonts w:hint="eastAsia" w:ascii="宋体" w:hAnsi="宋体"/>
          <w:b/>
          <w:sz w:val="32"/>
          <w:szCs w:val="32"/>
        </w:rPr>
      </w:r>
      <w:r/>
    </w:p>
    <w:p>
      <w:pPr>
        <w:pStyle w:val="1000"/>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887"/>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87"/>
        <w:ind w:firstLine="480"/>
        <w:spacing w:line="440" w:lineRule="exact"/>
        <w:rPr>
          <w:rFonts w:ascii="宋体" w:hAnsi="宋体"/>
          <w:sz w:val="24"/>
        </w:rPr>
      </w:pPr>
      <w:r>
        <w:rPr>
          <w:rFonts w:ascii="宋体" w:hAnsi="宋体"/>
          <w:sz w:val="24"/>
        </w:rPr>
      </w:r>
      <w:r/>
    </w:p>
    <w:p>
      <w:pPr>
        <w:pStyle w:val="887"/>
        <w:ind w:firstLine="480"/>
        <w:spacing w:line="440" w:lineRule="exact"/>
        <w:rPr>
          <w:rFonts w:ascii="宋体" w:hAnsi="宋体"/>
          <w:sz w:val="24"/>
        </w:rPr>
      </w:pPr>
      <w:r>
        <w:rPr>
          <w:rFonts w:ascii="宋体" w:hAnsi="宋体"/>
          <w:sz w:val="24"/>
        </w:rPr>
      </w:r>
      <w:r/>
    </w:p>
    <w:p>
      <w:pPr>
        <w:pStyle w:val="887"/>
        <w:ind w:firstLine="480"/>
        <w:spacing w:line="440" w:lineRule="exact"/>
        <w:rPr>
          <w:rFonts w:ascii="宋体" w:hAnsi="宋体"/>
          <w:sz w:val="24"/>
        </w:rPr>
      </w:pPr>
      <w:r>
        <w:rPr>
          <w:rFonts w:ascii="宋体" w:hAnsi="宋体"/>
          <w:sz w:val="24"/>
        </w:rPr>
      </w:r>
      <w:r/>
    </w:p>
    <w:p>
      <w:pPr>
        <w:pStyle w:val="887"/>
        <w:ind w:firstLine="480"/>
        <w:spacing w:line="440" w:lineRule="exact"/>
        <w:rPr>
          <w:rFonts w:ascii="宋体" w:hAnsi="宋体"/>
          <w:sz w:val="24"/>
        </w:rPr>
      </w:pPr>
      <w:r>
        <w:rPr>
          <w:rFonts w:ascii="宋体" w:hAnsi="宋体"/>
          <w:sz w:val="24"/>
        </w:rPr>
      </w:r>
      <w:r/>
    </w:p>
    <w:p>
      <w:pPr>
        <w:pStyle w:val="887"/>
        <w:ind w:firstLine="480"/>
        <w:spacing w:line="440" w:lineRule="exact"/>
        <w:rPr>
          <w:rFonts w:ascii="宋体" w:hAnsi="宋体"/>
          <w:sz w:val="24"/>
        </w:rPr>
      </w:pPr>
      <w:r>
        <w:rPr>
          <w:rFonts w:ascii="宋体" w:hAnsi="宋体"/>
          <w:sz w:val="24"/>
        </w:rPr>
      </w:r>
      <w:r/>
    </w:p>
    <w:p>
      <w:pPr>
        <w:pStyle w:val="887"/>
        <w:spacing w:line="460" w:lineRule="exact"/>
        <w:rPr>
          <w:rFonts w:hint="eastAsia" w:ascii="黑体" w:hAnsi="黑体" w:eastAsia="黑体"/>
          <w:b/>
          <w:sz w:val="32"/>
          <w:szCs w:val="32"/>
        </w:rPr>
      </w:pPr>
      <w:r/>
      <w:bookmarkEnd w:id="205"/>
      <w:r/>
      <w:bookmarkEnd w:id="206"/>
      <w:r/>
      <w:bookmarkEnd w:id="207"/>
      <w:r/>
      <w:bookmarkStart w:id="208" w:name="_Toc120614284"/>
      <w:r>
        <w:rPr>
          <w:rFonts w:hint="eastAsia" w:ascii="黑体" w:hAnsi="黑体" w:eastAsia="黑体"/>
          <w:b/>
          <w:sz w:val="32"/>
          <w:szCs w:val="32"/>
        </w:rPr>
      </w:r>
      <w:r/>
    </w:p>
    <w:p>
      <w:pPr>
        <w:pStyle w:val="887"/>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87"/>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7"/>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87"/>
        <w:ind w:right="720"/>
        <w:spacing w:line="400" w:lineRule="exact"/>
        <w:rPr>
          <w:rFonts w:hint="eastAsia" w:ascii="宋体" w:hAnsi="宋体"/>
          <w:sz w:val="24"/>
          <w:szCs w:val="24"/>
        </w:rPr>
      </w:pPr>
      <w:r>
        <w:rPr>
          <w:rFonts w:hint="eastAsia" w:ascii="宋体" w:hAnsi="宋体"/>
          <w:sz w:val="24"/>
          <w:szCs w:val="24"/>
        </w:rPr>
      </w:r>
      <w:r/>
    </w:p>
    <w:p>
      <w:pPr>
        <w:pStyle w:val="887"/>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rPr>
          <w:rFonts w:hint="eastAsia" w:ascii="宋体" w:hAnsi="宋体"/>
          <w:sz w:val="24"/>
          <w:szCs w:val="24"/>
        </w:rPr>
      </w:r>
      <w:r/>
    </w:p>
    <w:p>
      <w:pPr>
        <w:pStyle w:val="887"/>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87"/>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87"/>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87"/>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rPr>
          <w:rFonts w:hint="eastAsia" w:ascii="宋体" w:hAnsi="宋体"/>
          <w:sz w:val="24"/>
        </w:rPr>
      </w:r>
      <w:r/>
    </w:p>
    <w:p>
      <w:pPr>
        <w:pStyle w:val="887"/>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87"/>
        <w:ind w:firstLine="480"/>
        <w:spacing w:line="0" w:lineRule="atLeast"/>
        <w:rPr>
          <w:rFonts w:hint="eastAsia" w:ascii="宋体" w:hAnsi="宋体"/>
          <w:sz w:val="24"/>
        </w:rPr>
      </w:pPr>
      <w:r>
        <w:rPr>
          <w:rFonts w:hint="eastAsia" w:ascii="宋体" w:hAnsi="宋体"/>
          <w:sz w:val="24"/>
        </w:rPr>
      </w:r>
      <w:r/>
    </w:p>
    <w:p>
      <w:pPr>
        <w:pStyle w:val="887"/>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87"/>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87"/>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87"/>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8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7"/>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87"/>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8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7"/>
        <w:spacing w:line="560" w:lineRule="exact"/>
        <w:rPr>
          <w:rFonts w:hint="eastAsia" w:ascii="黑体" w:hAnsi="黑体" w:eastAsia="黑体"/>
          <w:b/>
          <w:sz w:val="32"/>
          <w:szCs w:val="32"/>
        </w:rPr>
      </w:pPr>
      <w:r>
        <w:rPr>
          <w:rFonts w:hint="eastAsia" w:ascii="黑体" w:hAnsi="黑体" w:eastAsia="黑体"/>
          <w:b/>
          <w:sz w:val="32"/>
          <w:szCs w:val="32"/>
        </w:rPr>
      </w:r>
      <w:r/>
    </w:p>
    <w:p>
      <w:pPr>
        <w:pStyle w:val="887"/>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87"/>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87"/>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87"/>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87"/>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887"/>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87"/>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887"/>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87"/>
        <w:ind w:firstLine="645"/>
        <w:spacing w:line="0" w:lineRule="atLeast"/>
        <w:rPr>
          <w:rFonts w:hint="eastAsia" w:ascii="宋体" w:hAnsi="宋体"/>
          <w:sz w:val="24"/>
        </w:rPr>
      </w:pPr>
      <w:r>
        <w:rPr>
          <w:rFonts w:hint="eastAsia" w:ascii="宋体" w:hAnsi="宋体"/>
          <w:sz w:val="24"/>
        </w:rPr>
      </w:r>
      <w:r/>
    </w:p>
    <w:p>
      <w:pPr>
        <w:pStyle w:val="887"/>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87"/>
        <w:ind w:firstLine="645"/>
        <w:spacing w:line="560" w:lineRule="exact"/>
        <w:rPr>
          <w:rFonts w:hint="eastAsia" w:ascii="宋体" w:hAnsi="宋体"/>
          <w:sz w:val="24"/>
        </w:rPr>
      </w:pPr>
      <w:r>
        <w:rPr>
          <w:rFonts w:hint="eastAsia" w:ascii="宋体" w:hAnsi="宋体"/>
          <w:sz w:val="24"/>
        </w:rPr>
      </w:r>
      <w:r/>
    </w:p>
    <w:p>
      <w:pPr>
        <w:pStyle w:val="88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8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bl>
    <w:p>
      <w:pPr>
        <w:pStyle w:val="887"/>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87"/>
        <w:spacing w:line="400" w:lineRule="exact"/>
        <w:rPr>
          <w:rFonts w:ascii="宋体" w:hAnsi="宋体"/>
          <w:sz w:val="24"/>
          <w:szCs w:val="24"/>
        </w:rPr>
      </w:pP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87"/>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87"/>
        <w:spacing w:line="400" w:lineRule="exact"/>
        <w:rPr>
          <w:rFonts w:hint="eastAsia" w:ascii="宋体" w:hAnsi="宋体"/>
          <w:color w:val="ff0000"/>
          <w:sz w:val="24"/>
          <w:szCs w:val="24"/>
        </w:rPr>
      </w:pPr>
      <w:r>
        <w:rPr>
          <w:rFonts w:hint="eastAsia" w:ascii="宋体" w:hAnsi="宋体"/>
          <w:color w:val="ff0000"/>
          <w:sz w:val="24"/>
          <w:szCs w:val="24"/>
        </w:rPr>
      </w:r>
      <w:r/>
    </w:p>
    <w:p>
      <w:pPr>
        <w:pStyle w:val="887"/>
        <w:spacing w:line="460" w:lineRule="exact"/>
        <w:rPr>
          <w:rFonts w:hint="eastAsia" w:ascii="宋体" w:hAnsi="宋体"/>
          <w:bCs/>
          <w:sz w:val="24"/>
        </w:rPr>
      </w:pPr>
      <w:r>
        <w:rPr>
          <w:rFonts w:hint="eastAsia" w:ascii="宋体" w:hAnsi="宋体"/>
          <w:bCs/>
          <w:sz w:val="24"/>
        </w:rPr>
      </w:r>
      <w:r/>
    </w:p>
    <w:p>
      <w:pPr>
        <w:pStyle w:val="887"/>
        <w:spacing w:line="460" w:lineRule="exact"/>
        <w:rPr>
          <w:rFonts w:hint="eastAsia" w:ascii="宋体" w:hAnsi="宋体"/>
          <w:bCs/>
          <w:sz w:val="24"/>
        </w:rPr>
      </w:pPr>
      <w:r>
        <w:rPr>
          <w:rFonts w:hint="eastAsia" w:ascii="宋体" w:hAnsi="宋体"/>
          <w:bCs/>
          <w:sz w:val="24"/>
        </w:rPr>
      </w:r>
      <w:r/>
    </w:p>
    <w:p>
      <w:pPr>
        <w:pStyle w:val="887"/>
        <w:spacing w:line="460" w:lineRule="exact"/>
        <w:rPr>
          <w:rFonts w:hint="eastAsia" w:ascii="宋体" w:hAnsi="宋体"/>
          <w:bCs/>
          <w:sz w:val="24"/>
        </w:rPr>
      </w:pPr>
      <w:r>
        <w:rPr>
          <w:rFonts w:hint="eastAsia" w:ascii="宋体" w:hAnsi="宋体"/>
          <w:bCs/>
          <w:sz w:val="24"/>
        </w:rPr>
      </w:r>
      <w:r/>
    </w:p>
    <w:p>
      <w:pPr>
        <w:pStyle w:val="887"/>
        <w:spacing w:line="460" w:lineRule="exact"/>
        <w:rPr>
          <w:rFonts w:hint="eastAsia" w:ascii="宋体" w:hAnsi="宋体"/>
          <w:bCs/>
          <w:sz w:val="24"/>
        </w:rPr>
      </w:pPr>
      <w:r>
        <w:rPr>
          <w:rFonts w:hint="eastAsia" w:ascii="宋体" w:hAnsi="宋体"/>
          <w:bCs/>
          <w:sz w:val="24"/>
        </w:rPr>
      </w:r>
      <w:r/>
    </w:p>
    <w:p>
      <w:pPr>
        <w:pStyle w:val="887"/>
        <w:spacing w:line="460" w:lineRule="exact"/>
        <w:rPr>
          <w:rFonts w:hint="eastAsia" w:ascii="宋体" w:hAnsi="宋体"/>
          <w:bCs/>
          <w:sz w:val="24"/>
        </w:rPr>
      </w:pPr>
      <w:r>
        <w:rPr>
          <w:rFonts w:hint="eastAsia" w:ascii="宋体" w:hAnsi="宋体"/>
          <w:bCs/>
          <w:sz w:val="24"/>
        </w:rPr>
      </w:r>
      <w:r/>
    </w:p>
    <w:p>
      <w:pPr>
        <w:pStyle w:val="887"/>
        <w:rPr>
          <w:rFonts w:hint="eastAsia"/>
        </w:rPr>
      </w:pPr>
      <w:r>
        <w:rPr>
          <w:rFonts w:hint="eastAsia"/>
        </w:rPr>
      </w:r>
      <w:r/>
    </w:p>
    <w:p>
      <w:pPr>
        <w:pStyle w:val="887"/>
        <w:jc w:val="center"/>
        <w:rPr>
          <w:rFonts w:hint="eastAsia" w:ascii="宋体" w:hAnsi="宋体"/>
          <w:b/>
          <w:sz w:val="24"/>
          <w:szCs w:val="24"/>
        </w:rPr>
      </w:pPr>
      <w:r>
        <w:rPr>
          <w:rFonts w:hint="eastAsia" w:ascii="宋体" w:hAnsi="宋体"/>
          <w:b/>
          <w:sz w:val="24"/>
          <w:szCs w:val="24"/>
        </w:rPr>
        <w:t xml:space="preserve">附件13  关于符合本国产品标准的声明函（采购包号：XX）</w:t>
      </w:r>
      <w:r>
        <w:rPr>
          <w:rFonts w:hint="eastAsia" w:ascii="宋体" w:hAnsi="宋体"/>
          <w:b/>
          <w:sz w:val="24"/>
          <w:szCs w:val="24"/>
        </w:rPr>
      </w:r>
      <w:r/>
    </w:p>
    <w:p>
      <w:pPr>
        <w:pStyle w:val="941"/>
        <w:ind w:firstLine="480"/>
        <w:spacing w:before="0" w:beforeAutospacing="0" w:after="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1.</w:t>
      </w:r>
      <w:r>
        <w:rPr>
          <w:rStyle w:val="907"/>
          <w:rFonts w:hint="eastAsia" w:ascii="宋体" w:hAnsi="宋体" w:eastAsia="宋体" w:cs="宋体"/>
          <w:color w:val="000000"/>
          <w:sz w:val="24"/>
          <w:szCs w:val="24"/>
          <w:shd w:val="clear" w:color="auto" w:fill="auto"/>
        </w:rPr>
        <w:t xml:space="preserve">（产品名称1）</w:t>
      </w:r>
      <w:r>
        <w:rPr>
          <w:rStyle w:val="907"/>
          <w:rFonts w:hint="eastAsia" w:ascii="宋体" w:hAnsi="宋体" w:eastAsia="宋体" w:cs="宋体"/>
          <w:color w:val="000000"/>
          <w:sz w:val="24"/>
          <w:szCs w:val="24"/>
          <w:shd w:val="clear" w:color="auto" w:fill="auto"/>
          <w:vertAlign w:val="superscript"/>
        </w:rPr>
        <w:t xml:space="preserve">1</w:t>
      </w:r>
      <w:r>
        <w:rPr>
          <w:rFonts w:hint="eastAsia" w:ascii="宋体" w:hAnsi="宋体" w:eastAsia="宋体" w:cs="宋体"/>
          <w:color w:val="000000"/>
          <w:sz w:val="24"/>
          <w:szCs w:val="24"/>
          <w:shd w:val="clear" w:color="auto" w:fill="auto"/>
        </w:rPr>
        <w:t xml:space="preserve">，生产厂为</w:t>
      </w:r>
      <w:r>
        <w:rPr>
          <w:rStyle w:val="907"/>
          <w:rFonts w:hint="eastAsia" w:ascii="宋体" w:hAnsi="宋体" w:eastAsia="宋体" w:cs="宋体"/>
          <w:color w:val="000000"/>
          <w:sz w:val="24"/>
          <w:szCs w:val="24"/>
          <w:shd w:val="clear" w:color="auto" w:fill="auto"/>
        </w:rPr>
        <w:t xml:space="preserve">（厂名）</w:t>
      </w:r>
      <w:r>
        <w:rPr>
          <w:rStyle w:val="907"/>
          <w:rFonts w:hint="eastAsia" w:ascii="宋体" w:hAnsi="宋体" w:eastAsia="宋体" w:cs="宋体"/>
          <w:color w:val="000000"/>
          <w:sz w:val="24"/>
          <w:szCs w:val="24"/>
          <w:shd w:val="clear" w:color="auto" w:fill="auto"/>
          <w:vertAlign w:val="superscript"/>
        </w:rPr>
        <w:t xml:space="preserve">2</w:t>
      </w:r>
      <w:r>
        <w:rPr>
          <w:rFonts w:hint="eastAsia" w:ascii="宋体" w:hAnsi="宋体" w:eastAsia="宋体" w:cs="宋体"/>
          <w:color w:val="000000"/>
          <w:sz w:val="24"/>
          <w:szCs w:val="24"/>
          <w:shd w:val="clear" w:color="auto" w:fill="auto"/>
        </w:rPr>
        <w:t xml:space="preserve">，厂址为</w:t>
      </w:r>
      <w:r>
        <w:rPr>
          <w:rStyle w:val="907"/>
          <w:rFonts w:hint="eastAsia" w:ascii="宋体" w:hAnsi="宋体" w:eastAsia="宋体" w:cs="宋体"/>
          <w:color w:val="000000"/>
          <w:sz w:val="24"/>
          <w:szCs w:val="24"/>
          <w:shd w:val="clear" w:color="auto" w:fill="auto"/>
        </w:rPr>
        <w:t xml:space="preserve">（生产厂址）</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07"/>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的中国境内生产的组件成本占比≥</w:t>
      </w:r>
      <w:r>
        <w:rPr>
          <w:rFonts w:hint="eastAsia" w:ascii="宋体" w:hAnsi="宋体" w:eastAsia="宋体" w:cs="宋体"/>
          <w:color w:val="000000"/>
          <w:sz w:val="24"/>
          <w:szCs w:val="24"/>
          <w:u w:val="single"/>
          <w:shd w:val="clear" w:color="auto" w:fill="auto"/>
        </w:rPr>
        <w:t xml:space="preserve">  </w:t>
      </w:r>
      <w:r>
        <w:rPr>
          <w:rStyle w:val="907"/>
          <w:rFonts w:hint="eastAsia" w:ascii="宋体" w:hAnsi="宋体" w:eastAsia="宋体" w:cs="宋体"/>
          <w:color w:val="000000"/>
          <w:sz w:val="24"/>
          <w:szCs w:val="24"/>
          <w:shd w:val="clear" w:color="auto" w:fill="auto"/>
        </w:rPr>
        <w:t xml:space="preserve">/  </w:t>
      </w:r>
      <w:r>
        <w:rPr>
          <w:rStyle w:val="907"/>
          <w:rFonts w:hint="eastAsia" w:ascii="宋体" w:hAnsi="宋体" w:eastAsia="宋体" w:cs="宋体"/>
          <w:color w:val="000000"/>
          <w:sz w:val="24"/>
          <w:szCs w:val="24"/>
          <w:shd w:val="clear" w:color="auto" w:fill="auto"/>
          <w:vertAlign w:val="superscript"/>
        </w:rPr>
        <w:t xml:space="preserve">3</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07"/>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07"/>
          <w:rFonts w:hint="eastAsia" w:ascii="宋体" w:hAnsi="宋体" w:eastAsia="宋体" w:cs="宋体"/>
          <w:color w:val="000000"/>
          <w:sz w:val="24"/>
          <w:szCs w:val="24"/>
          <w:shd w:val="clear" w:color="auto" w:fill="auto"/>
        </w:rPr>
        <w:t xml:space="preserve">/  </w:t>
      </w:r>
      <w:r>
        <w:rPr>
          <w:rStyle w:val="907"/>
          <w:rFonts w:hint="eastAsia" w:ascii="宋体" w:hAnsi="宋体" w:eastAsia="宋体" w:cs="宋体"/>
          <w:color w:val="000000"/>
          <w:sz w:val="24"/>
          <w:szCs w:val="24"/>
          <w:shd w:val="clear" w:color="auto" w:fill="auto"/>
          <w:vertAlign w:val="superscript"/>
        </w:rPr>
        <w:t xml:space="preserve">4</w:t>
      </w:r>
      <w:r>
        <w:rPr>
          <w:rFonts w:hint="eastAsia" w:ascii="宋体" w:hAnsi="宋体" w:eastAsia="宋体" w:cs="宋体"/>
          <w:color w:val="000000"/>
          <w:sz w:val="24"/>
          <w:szCs w:val="24"/>
          <w:shd w:val="clear" w:color="auto" w:fill="auto"/>
        </w:rPr>
        <w:t xml:space="preserve">在中国境内生产。</w:t>
      </w:r>
      <w:r>
        <w:rPr>
          <w:rFonts w:hint="eastAsia" w:ascii="宋体" w:hAnsi="宋体" w:eastAsia="宋体" w:cs="宋体"/>
          <w:color w:val="000000"/>
          <w:sz w:val="24"/>
          <w:szCs w:val="24"/>
          <w:u w:val="single"/>
          <w:shd w:val="clear" w:color="auto" w:fill="auto"/>
        </w:rPr>
        <w:t xml:space="preserve">  </w:t>
      </w:r>
      <w:r>
        <w:rPr>
          <w:rStyle w:val="907"/>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07"/>
          <w:rFonts w:hint="eastAsia" w:ascii="宋体" w:hAnsi="宋体" w:eastAsia="宋体" w:cs="宋体"/>
          <w:color w:val="000000"/>
          <w:sz w:val="24"/>
          <w:szCs w:val="24"/>
          <w:shd w:val="clear" w:color="auto" w:fill="auto"/>
        </w:rPr>
        <w:t xml:space="preserve">/  </w:t>
      </w:r>
      <w:r>
        <w:rPr>
          <w:rStyle w:val="907"/>
          <w:rFonts w:hint="eastAsia" w:ascii="宋体" w:hAnsi="宋体" w:eastAsia="宋体" w:cs="宋体"/>
          <w:color w:val="000000"/>
          <w:sz w:val="24"/>
          <w:szCs w:val="24"/>
          <w:shd w:val="clear" w:color="auto" w:fill="auto"/>
          <w:vertAlign w:val="superscript"/>
        </w:rPr>
        <w:t xml:space="preserve">5</w:t>
      </w:r>
      <w:r>
        <w:rPr>
          <w:rFonts w:hint="eastAsia" w:ascii="宋体" w:hAnsi="宋体" w:eastAsia="宋体" w:cs="宋体"/>
          <w:color w:val="000000"/>
          <w:sz w:val="24"/>
          <w:szCs w:val="24"/>
          <w:shd w:val="clear" w:color="auto" w:fill="auto"/>
        </w:rPr>
        <w:t xml:space="preserve">在中国境内完成。</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2.</w:t>
      </w:r>
      <w:r>
        <w:rPr>
          <w:rStyle w:val="907"/>
          <w:rFonts w:hint="eastAsia" w:ascii="宋体" w:hAnsi="宋体" w:eastAsia="宋体" w:cs="宋体"/>
          <w:color w:val="000000"/>
          <w:sz w:val="24"/>
          <w:szCs w:val="24"/>
          <w:shd w:val="clear" w:color="auto" w:fill="auto"/>
        </w:rPr>
        <w:t xml:space="preserve">（产品名称2）</w:t>
      </w:r>
      <w:r>
        <w:rPr>
          <w:rFonts w:hint="eastAsia" w:ascii="宋体" w:hAnsi="宋体" w:eastAsia="宋体" w:cs="宋体"/>
          <w:color w:val="000000"/>
          <w:sz w:val="24"/>
          <w:szCs w:val="24"/>
          <w:shd w:val="clear" w:color="auto" w:fill="auto"/>
        </w:rPr>
        <w:t xml:space="preserve">，生产厂为</w:t>
      </w:r>
      <w:r>
        <w:rPr>
          <w:rStyle w:val="907"/>
          <w:rFonts w:hint="eastAsia" w:ascii="宋体" w:hAnsi="宋体" w:eastAsia="宋体" w:cs="宋体"/>
          <w:color w:val="000000"/>
          <w:sz w:val="24"/>
          <w:szCs w:val="24"/>
          <w:shd w:val="clear" w:color="auto" w:fill="auto"/>
        </w:rPr>
        <w:t xml:space="preserve">（厂名）</w:t>
      </w:r>
      <w:r>
        <w:rPr>
          <w:rFonts w:hint="eastAsia" w:ascii="宋体" w:hAnsi="宋体" w:eastAsia="宋体" w:cs="宋体"/>
          <w:color w:val="000000"/>
          <w:sz w:val="24"/>
          <w:szCs w:val="24"/>
          <w:shd w:val="clear" w:color="auto" w:fill="auto"/>
        </w:rPr>
        <w:t xml:space="preserve">，厂址为</w:t>
      </w:r>
      <w:r>
        <w:rPr>
          <w:rStyle w:val="907"/>
          <w:rFonts w:hint="eastAsia" w:ascii="宋体" w:hAnsi="宋体" w:eastAsia="宋体" w:cs="宋体"/>
          <w:color w:val="000000"/>
          <w:sz w:val="24"/>
          <w:szCs w:val="24"/>
          <w:shd w:val="clear" w:color="auto" w:fill="auto"/>
        </w:rPr>
        <w:t xml:space="preserve">（生产厂址）</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07"/>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的中国境内生产的组件成本占比≥</w:t>
      </w:r>
      <w:r>
        <w:rPr>
          <w:rFonts w:hint="eastAsia" w:ascii="宋体" w:hAnsi="宋体" w:eastAsia="宋体" w:cs="宋体"/>
          <w:color w:val="000000"/>
          <w:sz w:val="24"/>
          <w:szCs w:val="24"/>
          <w:u w:val="single"/>
          <w:shd w:val="clear" w:color="auto" w:fill="auto"/>
        </w:rPr>
        <w:t xml:space="preserve">  </w:t>
      </w:r>
      <w:r>
        <w:rPr>
          <w:rStyle w:val="907"/>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07"/>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07"/>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在中国境内生产。</w:t>
      </w:r>
      <w:r>
        <w:rPr>
          <w:rFonts w:hint="eastAsia" w:ascii="宋体" w:hAnsi="宋体" w:eastAsia="宋体" w:cs="宋体"/>
          <w:color w:val="000000"/>
          <w:sz w:val="24"/>
          <w:szCs w:val="24"/>
          <w:u w:val="single"/>
          <w:shd w:val="clear" w:color="auto" w:fill="auto"/>
        </w:rPr>
        <w:t xml:space="preserve">  </w:t>
      </w:r>
      <w:r>
        <w:rPr>
          <w:rStyle w:val="907"/>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07"/>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在中国境内完成。</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本公司（单位）对上述声明内容的真实性负责。如有虚假，愿承担相应法律责任。</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r>
      <w:r/>
    </w:p>
    <w:p>
      <w:pPr>
        <w:pStyle w:val="941"/>
        <w:ind w:firstLine="480"/>
        <w:jc w:val="right"/>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    公司（单位）名称（加盖CA电子公章）：　        </w:t>
      </w:r>
      <w:r>
        <w:rPr>
          <w:rFonts w:hint="eastAsia" w:ascii="宋体" w:hAnsi="宋体" w:eastAsia="宋体" w:cs="宋体"/>
          <w:color w:val="000000"/>
          <w:sz w:val="24"/>
          <w:szCs w:val="24"/>
          <w:shd w:val="clear" w:color="auto" w:fill="auto"/>
        </w:rPr>
      </w:r>
      <w:r/>
    </w:p>
    <w:p>
      <w:pPr>
        <w:pStyle w:val="941"/>
        <w:ind w:firstLine="480"/>
        <w:jc w:val="center"/>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          日期：___年____月____日        </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__________________</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1.产品如有型号，请在“产品名称”栏一并填写。</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2.生产厂名与厂址应与生产厂营业执照载明的相关信息保持一致。</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3.该产品的中国境内生产的组件成本占比相关要求实施前，“规定比例”栏可不填，下同。</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4.该产品的关键组件要求实施前，“关键组件”栏可不填，下同。</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5.该产品的关键工序要求实施前，“关键工序”栏可不填，下同。</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6.《声明函》中标注“</w:t>
      </w:r>
      <w:r>
        <w:rPr>
          <w:rFonts w:hint="eastAsia" w:ascii="宋体" w:hAnsi="宋体" w:eastAsia="宋体" w:cs="宋体"/>
          <w:color w:val="000000"/>
          <w:sz w:val="24"/>
          <w:szCs w:val="24"/>
          <w:u w:val="single"/>
          <w:shd w:val="clear" w:color="auto" w:fill="auto"/>
        </w:rPr>
        <w:t xml:space="preserve">  </w:t>
      </w:r>
      <w:r>
        <w:rPr>
          <w:rStyle w:val="907"/>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”的地方无需填写。</w:t>
      </w:r>
      <w:r>
        <w:rPr>
          <w:rFonts w:hint="eastAsia" w:ascii="宋体" w:hAnsi="宋体" w:eastAsia="宋体" w:cs="宋体"/>
          <w:color w:val="000000"/>
          <w:sz w:val="24"/>
          <w:szCs w:val="24"/>
          <w:shd w:val="clear" w:color="auto" w:fill="auto"/>
        </w:rPr>
      </w:r>
      <w:r/>
    </w:p>
    <w:p>
      <w:pPr>
        <w:pStyle w:val="887"/>
        <w:spacing w:line="460" w:lineRule="exact"/>
        <w:rPr>
          <w:rFonts w:hint="eastAsia" w:ascii="方正魏碑_GBK" w:hAnsi="方正魏碑_GBK" w:eastAsia="方正魏碑_GBK" w:cs="方正魏碑_GBK"/>
          <w:bCs/>
          <w:color w:val="ff0000"/>
          <w:sz w:val="24"/>
        </w:rPr>
      </w:pPr>
      <w:r>
        <w:rPr>
          <w:rFonts w:hint="eastAsia" w:ascii="方正魏碑_GBK" w:hAnsi="方正魏碑_GBK" w:eastAsia="方正魏碑_GBK" w:cs="方正魏碑_GBK"/>
          <w:bCs/>
          <w:color w:val="ff0000"/>
          <w:sz w:val="24"/>
        </w:rPr>
      </w:r>
      <w:r/>
    </w:p>
    <w:p>
      <w:pPr>
        <w:pStyle w:val="887"/>
        <w:jc w:val="center"/>
        <w:rPr>
          <w:rFonts w:hint="eastAsia" w:ascii="黑体" w:hAnsi="黑体" w:eastAsia="黑体"/>
          <w:b/>
          <w:sz w:val="32"/>
          <w:szCs w:val="32"/>
        </w:rPr>
      </w:pPr>
      <w:r>
        <w:rPr>
          <w:rFonts w:hint="eastAsia" w:ascii="黑体" w:hAnsi="黑体" w:eastAsia="黑体"/>
          <w:b/>
          <w:sz w:val="32"/>
          <w:szCs w:val="32"/>
        </w:rPr>
      </w:r>
      <w:r/>
    </w:p>
    <w:p>
      <w:pPr>
        <w:pStyle w:val="887"/>
        <w:jc w:val="center"/>
        <w:rPr>
          <w:rFonts w:hint="eastAsia" w:ascii="黑体" w:hAnsi="黑体" w:eastAsia="黑体"/>
          <w:b/>
          <w:sz w:val="32"/>
          <w:szCs w:val="32"/>
        </w:rPr>
      </w:pPr>
      <w:r>
        <w:rPr>
          <w:rFonts w:hint="eastAsia" w:ascii="黑体" w:hAnsi="黑体" w:eastAsia="黑体"/>
          <w:b/>
          <w:sz w:val="32"/>
          <w:szCs w:val="32"/>
        </w:rPr>
      </w:r>
      <w:r/>
    </w:p>
    <w:p>
      <w:pPr>
        <w:pStyle w:val="887"/>
        <w:jc w:val="center"/>
        <w:rPr>
          <w:rFonts w:hint="eastAsia" w:ascii="黑体" w:hAnsi="黑体" w:eastAsia="黑体"/>
          <w:b/>
          <w:sz w:val="32"/>
          <w:szCs w:val="32"/>
        </w:rPr>
      </w:pPr>
      <w:r>
        <w:rPr>
          <w:rFonts w:hint="eastAsia" w:ascii="黑体" w:hAnsi="黑体" w:eastAsia="黑体"/>
          <w:b/>
          <w:sz w:val="32"/>
          <w:szCs w:val="32"/>
        </w:rPr>
      </w:r>
      <w:r/>
    </w:p>
    <w:p>
      <w:pPr>
        <w:pStyle w:val="887"/>
        <w:jc w:val="center"/>
        <w:rPr>
          <w:rFonts w:hint="eastAsia" w:ascii="黑体" w:hAnsi="黑体" w:eastAsia="黑体"/>
          <w:b/>
          <w:sz w:val="32"/>
          <w:szCs w:val="32"/>
        </w:rPr>
      </w:pPr>
      <w:r>
        <w:rPr>
          <w:rFonts w:hint="eastAsia" w:ascii="黑体" w:hAnsi="黑体" w:eastAsia="黑体"/>
          <w:b/>
          <w:sz w:val="32"/>
          <w:szCs w:val="32"/>
        </w:rPr>
      </w:r>
      <w:r/>
    </w:p>
    <w:p>
      <w:pPr>
        <w:pStyle w:val="887"/>
        <w:jc w:val="center"/>
        <w:rPr>
          <w:rFonts w:hint="eastAsia" w:ascii="黑体" w:hAnsi="黑体" w:eastAsia="黑体"/>
          <w:b/>
          <w:sz w:val="32"/>
          <w:szCs w:val="32"/>
        </w:rPr>
      </w:pPr>
      <w:r>
        <w:rPr>
          <w:rFonts w:hint="eastAsia" w:ascii="黑体" w:hAnsi="黑体" w:eastAsia="黑体"/>
          <w:b/>
          <w:sz w:val="32"/>
          <w:szCs w:val="32"/>
        </w:rPr>
      </w:r>
      <w:r/>
    </w:p>
    <w:p>
      <w:pPr>
        <w:pStyle w:val="887"/>
        <w:rPr>
          <w:rFonts w:hint="eastAsia" w:ascii="黑体" w:hAnsi="黑体" w:eastAsia="黑体"/>
          <w:b/>
          <w:sz w:val="32"/>
          <w:szCs w:val="32"/>
        </w:rPr>
      </w:pPr>
      <w:r>
        <w:rPr>
          <w:rFonts w:hint="eastAsia" w:ascii="黑体" w:hAnsi="黑体" w:eastAsia="黑体"/>
          <w:b/>
          <w:sz w:val="32"/>
          <w:szCs w:val="32"/>
        </w:rPr>
      </w:r>
      <w:r/>
    </w:p>
    <w:p>
      <w:pPr>
        <w:pStyle w:val="887"/>
        <w:rPr>
          <w:rFonts w:hint="eastAsia" w:ascii="宋体" w:hAnsi="宋体" w:cs="仿宋"/>
          <w:b/>
          <w:bCs/>
          <w:sz w:val="32"/>
          <w:szCs w:val="32"/>
        </w:rPr>
      </w:pPr>
      <w:r/>
      <w:bookmarkEnd w:id="189"/>
      <w:r/>
      <w:bookmarkEnd w:id="190"/>
      <w:r/>
      <w:bookmarkEnd w:id="208"/>
      <w:r>
        <w:rPr>
          <w:rFonts w:hint="eastAsia" w:ascii="宋体" w:hAnsi="宋体" w:cs="仿宋"/>
          <w:b/>
          <w:bCs/>
          <w:sz w:val="32"/>
          <w:szCs w:val="32"/>
        </w:rPr>
      </w:r>
      <w:r/>
    </w:p>
    <w:p>
      <w:pPr>
        <w:pStyle w:val="887"/>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87"/>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87"/>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8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7"/>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7"/>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8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8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55"/>
        <w:rPr>
          <w:rFonts w:hint="eastAsia"/>
          <w:sz w:val="24"/>
          <w:szCs w:val="24"/>
        </w:rPr>
      </w:pPr>
      <w:r>
        <w:rPr>
          <w:rFonts w:hint="eastAsia"/>
          <w:sz w:val="24"/>
          <w:szCs w:val="24"/>
        </w:rPr>
      </w:r>
      <w:r/>
    </w:p>
    <w:p>
      <w:pPr>
        <w:pStyle w:val="955"/>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Tahoma">
    <w:panose1 w:val="020B0604030504040204"/>
  </w:font>
  <w:font w:name="方正仿宋_GBK">
    <w:panose1 w:val="020B0503020202020204"/>
  </w:font>
  <w:font w:name="方正黑体_GBK">
    <w:panose1 w:val="020B0503020202020204"/>
  </w:font>
  <w:font w:name="Cambria">
    <w:panose1 w:val="0204050305040603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rPr>
        <w:rStyle w:val="906"/>
        <w:rFonts w:ascii="宋体" w:hAnsi="宋体"/>
      </w:rPr>
      <w:framePr w:wrap="around" w:vAnchor="text" w:hAnchor="margin" w:xAlign="center" w:y="1"/>
    </w:pPr>
    <w:r>
      <w:rPr>
        <w:rFonts w:ascii="宋体" w:hAnsi="宋体"/>
      </w:rPr>
      <w:fldChar w:fldCharType="begin"/>
    </w:r>
    <w:r>
      <w:rPr>
        <w:rStyle w:val="906"/>
        <w:rFonts w:ascii="宋体" w:hAnsi="宋体"/>
      </w:rPr>
      <w:instrText xml:space="preserve">PAGE  </w:instrText>
    </w:r>
    <w:r>
      <w:rPr>
        <w:rFonts w:ascii="宋体" w:hAnsi="宋体"/>
      </w:rPr>
      <w:fldChar w:fldCharType="separate"/>
    </w:r>
    <w:r>
      <w:rPr>
        <w:rStyle w:val="906"/>
        <w:rFonts w:ascii="宋体" w:hAnsi="宋体"/>
      </w:rPr>
      <w:t xml:space="preserve">30</w:t>
    </w:r>
    <w:r>
      <w:rPr>
        <w:rFonts w:ascii="宋体" w:hAnsi="宋体"/>
      </w:rPr>
      <w:fldChar w:fldCharType="end"/>
    </w:r>
    <w:r>
      <w:rPr>
        <w:rStyle w:val="906"/>
        <w:rFonts w:ascii="宋体" w:hAnsi="宋体"/>
      </w:rPr>
    </w:r>
    <w:r/>
  </w:p>
  <w:p>
    <w:pPr>
      <w:pStyle w:val="95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rPr>
        <w:rStyle w:val="906"/>
      </w:rPr>
      <w:framePr w:wrap="around" w:vAnchor="text" w:hAnchor="margin" w:xAlign="center" w:y="1"/>
    </w:pPr>
    <w:r>
      <w:fldChar w:fldCharType="begin"/>
    </w:r>
    <w:r>
      <w:rPr>
        <w:rStyle w:val="906"/>
      </w:rPr>
      <w:instrText xml:space="preserve">PAGE  </w:instrText>
    </w:r>
    <w:r>
      <w:fldChar w:fldCharType="separate"/>
    </w:r>
    <w:r>
      <w:rPr>
        <w:rStyle w:val="906"/>
      </w:rPr>
      <w:t xml:space="preserve">1</w:t>
    </w:r>
    <w:r>
      <w:fldChar w:fldCharType="end"/>
    </w:r>
    <w:r>
      <w:rPr>
        <w:rStyle w:val="906"/>
      </w:rPr>
    </w:r>
    <w:r/>
  </w:p>
  <w:p>
    <w:pPr>
      <w:pStyle w:val="95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5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2"/>
      <w:isLgl w:val="false"/>
      <w:suff w:val="tab"/>
      <w:lvlText w:val="附录%1."/>
      <w:lvlJc w:val="left"/>
      <w:pPr>
        <w:pStyle w:val="88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9"/>
      <w:isLgl w:val="false"/>
      <w:suff w:val="tab"/>
      <w:lvlText w:val="%1."/>
      <w:lvlJc w:val="left"/>
      <w:pPr>
        <w:pStyle w:val="887"/>
        <w:ind w:left="709" w:hanging="709"/>
        <w:tabs>
          <w:tab w:val="num" w:pos="709" w:leader="none"/>
        </w:tabs>
      </w:pPr>
      <w:rPr>
        <w:rFonts w:hint="eastAsia"/>
      </w:rPr>
    </w:lvl>
    <w:lvl w:ilvl="1">
      <w:start w:val="1"/>
      <w:numFmt w:val="decimal"/>
      <w:isLgl w:val="false"/>
      <w:suff w:val="tab"/>
      <w:lvlText w:val="%1.%2"/>
      <w:lvlJc w:val="left"/>
      <w:pPr>
        <w:pStyle w:val="887"/>
        <w:ind w:left="709" w:hanging="709"/>
        <w:tabs>
          <w:tab w:val="num" w:pos="709" w:leader="none"/>
        </w:tabs>
      </w:pPr>
      <w:rPr>
        <w:rFonts w:hint="eastAsia"/>
      </w:rPr>
    </w:lvl>
    <w:lvl w:ilvl="2">
      <w:start w:val="1"/>
      <w:numFmt w:val="decimal"/>
      <w:isLgl w:val="false"/>
      <w:suff w:val="tab"/>
      <w:lvlText w:val="%1.%2.%3."/>
      <w:lvlJc w:val="left"/>
      <w:pPr>
        <w:pStyle w:val="887"/>
        <w:ind w:left="425" w:hanging="425"/>
        <w:tabs>
          <w:tab w:val="num" w:pos="425" w:leader="none"/>
        </w:tabs>
      </w:pPr>
      <w:rPr>
        <w:rFonts w:hint="eastAsia"/>
      </w:rPr>
    </w:lvl>
    <w:lvl w:ilvl="3">
      <w:start w:val="1"/>
      <w:numFmt w:val="decimal"/>
      <w:isLgl w:val="false"/>
      <w:suff w:val="tab"/>
      <w:lvlText w:val="%1.%2.%3.%4."/>
      <w:lvlJc w:val="left"/>
      <w:pPr>
        <w:pStyle w:val="887"/>
        <w:ind w:left="851" w:hanging="851"/>
        <w:tabs>
          <w:tab w:val="num" w:pos="851" w:leader="none"/>
        </w:tabs>
      </w:pPr>
      <w:rPr>
        <w:rFonts w:hint="eastAsia"/>
      </w:rPr>
    </w:lvl>
    <w:lvl w:ilvl="4">
      <w:start w:val="1"/>
      <w:numFmt w:val="decimal"/>
      <w:isLgl w:val="false"/>
      <w:suff w:val="tab"/>
      <w:lvlText w:val="%1.%2.%3.%4.%5."/>
      <w:lvlJc w:val="left"/>
      <w:pPr>
        <w:pStyle w:val="887"/>
        <w:ind w:left="992" w:hanging="992"/>
        <w:tabs>
          <w:tab w:val="num" w:pos="992" w:leader="none"/>
        </w:tabs>
      </w:pPr>
      <w:rPr>
        <w:rFonts w:hint="eastAsia"/>
      </w:rPr>
    </w:lvl>
    <w:lvl w:ilvl="5">
      <w:start w:val="1"/>
      <w:numFmt w:val="decimal"/>
      <w:isLgl w:val="false"/>
      <w:suff w:val="tab"/>
      <w:lvlText w:val="%1.%2.%3.%4.%5.%6."/>
      <w:lvlJc w:val="left"/>
      <w:pPr>
        <w:pStyle w:val="887"/>
        <w:ind w:left="1134" w:hanging="1134"/>
        <w:tabs>
          <w:tab w:val="num" w:pos="1134" w:leader="none"/>
        </w:tabs>
      </w:pPr>
      <w:rPr>
        <w:rFonts w:hint="eastAsia"/>
      </w:rPr>
    </w:lvl>
    <w:lvl w:ilvl="6">
      <w:start w:val="1"/>
      <w:numFmt w:val="decimal"/>
      <w:isLgl w:val="false"/>
      <w:suff w:val="tab"/>
      <w:lvlText w:val="%1.%2.%3.%4.%5.%6.%7."/>
      <w:lvlJc w:val="left"/>
      <w:pPr>
        <w:pStyle w:val="887"/>
        <w:ind w:left="1276" w:hanging="1276"/>
        <w:tabs>
          <w:tab w:val="num" w:pos="1276" w:leader="none"/>
        </w:tabs>
      </w:pPr>
      <w:rPr>
        <w:rFonts w:hint="eastAsia"/>
      </w:rPr>
    </w:lvl>
    <w:lvl w:ilvl="7">
      <w:start w:val="1"/>
      <w:numFmt w:val="decimal"/>
      <w:isLgl w:val="false"/>
      <w:suff w:val="tab"/>
      <w:lvlText w:val="%1.%2.%3.%4.%5.%6.%7.%8."/>
      <w:lvlJc w:val="left"/>
      <w:pPr>
        <w:pStyle w:val="887"/>
        <w:ind w:left="1418" w:hanging="1418"/>
        <w:tabs>
          <w:tab w:val="num" w:pos="1418" w:leader="none"/>
        </w:tabs>
      </w:pPr>
      <w:rPr>
        <w:rFonts w:hint="eastAsia"/>
      </w:rPr>
    </w:lvl>
    <w:lvl w:ilvl="8">
      <w:start w:val="1"/>
      <w:numFmt w:val="decimal"/>
      <w:isLgl w:val="false"/>
      <w:suff w:val="tab"/>
      <w:lvlText w:val="%1.%2.%3.%4.%5.%6.%7.%8.%9."/>
      <w:lvlJc w:val="left"/>
      <w:pPr>
        <w:pStyle w:val="887"/>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87"/>
        <w:ind w:left="0" w:firstLine="0"/>
      </w:pPr>
      <w:rPr>
        <w:rFonts w:hint="eastAsia"/>
      </w:rPr>
    </w:lvl>
    <w:lvl w:ilvl="1">
      <w:start w:val="1"/>
      <w:numFmt w:val="decimal"/>
      <w:isLgl w:val="false"/>
      <w:suff w:val="nothing"/>
      <w:lvlText w:val="%2、"/>
      <w:lvlJc w:val="left"/>
      <w:pPr>
        <w:pStyle w:val="887"/>
        <w:ind w:left="0" w:firstLine="0"/>
      </w:pPr>
      <w:rPr>
        <w:rFonts w:hint="eastAsia"/>
      </w:rPr>
    </w:lvl>
    <w:lvl w:ilvl="2">
      <w:start w:val="1"/>
      <w:numFmt w:val="decimal"/>
      <w:isLgl w:val="false"/>
      <w:suff w:val="nothing"/>
      <w:lvlText w:val="%2.%3 "/>
      <w:lvlJc w:val="left"/>
      <w:pPr>
        <w:pStyle w:val="887"/>
        <w:ind w:left="0" w:firstLine="0"/>
      </w:pPr>
      <w:rPr>
        <w:rFonts w:hint="eastAsia"/>
      </w:rPr>
    </w:lvl>
    <w:lvl w:ilvl="3">
      <w:start w:val="1"/>
      <w:numFmt w:val="decimal"/>
      <w:isLgl w:val="false"/>
      <w:suff w:val="nothing"/>
      <w:lvlText w:val="%2.%3.%4 "/>
      <w:lvlJc w:val="left"/>
      <w:pPr>
        <w:pStyle w:val="887"/>
        <w:ind w:left="0" w:firstLine="0"/>
      </w:pPr>
      <w:rPr>
        <w:rFonts w:hint="eastAsia"/>
      </w:rPr>
    </w:lvl>
    <w:lvl w:ilvl="4">
      <w:start w:val="1"/>
      <w:numFmt w:val="decimal"/>
      <w:isLgl w:val="false"/>
      <w:suff w:val="nothing"/>
      <w:lvlText w:val="%2.%3.%4.%5 "/>
      <w:lvlJc w:val="left"/>
      <w:pPr>
        <w:pStyle w:val="887"/>
        <w:ind w:left="0" w:firstLine="0"/>
      </w:pPr>
      <w:rPr>
        <w:rFonts w:hint="eastAsia"/>
      </w:rPr>
    </w:lvl>
    <w:lvl w:ilvl="5">
      <w:start w:val="1"/>
      <w:numFmt w:val="decimal"/>
      <w:pStyle w:val="893"/>
      <w:isLgl w:val="false"/>
      <w:suff w:val="nothing"/>
      <w:lvlText w:val=""/>
      <w:lvlJc w:val="left"/>
      <w:pPr>
        <w:pStyle w:val="887"/>
        <w:ind w:left="0" w:firstLine="0"/>
      </w:pPr>
      <w:rPr>
        <w:rFonts w:hint="eastAsia"/>
      </w:rPr>
    </w:lvl>
    <w:lvl w:ilvl="6">
      <w:start w:val="1"/>
      <w:numFmt w:val="decimal"/>
      <w:pStyle w:val="894"/>
      <w:isLgl w:val="false"/>
      <w:suff w:val="nothing"/>
      <w:lvlText w:val=""/>
      <w:lvlJc w:val="left"/>
      <w:pPr>
        <w:pStyle w:val="887"/>
        <w:ind w:left="0" w:firstLine="0"/>
      </w:pPr>
      <w:rPr>
        <w:rFonts w:hint="eastAsia"/>
      </w:rPr>
    </w:lvl>
    <w:lvl w:ilvl="7">
      <w:start w:val="1"/>
      <w:numFmt w:val="decimal"/>
      <w:pStyle w:val="895"/>
      <w:isLgl w:val="false"/>
      <w:suff w:val="nothing"/>
      <w:lvlText w:val=""/>
      <w:lvlJc w:val="left"/>
      <w:pPr>
        <w:pStyle w:val="887"/>
        <w:ind w:left="0" w:firstLine="0"/>
      </w:pPr>
      <w:rPr>
        <w:rFonts w:hint="eastAsia"/>
      </w:rPr>
    </w:lvl>
    <w:lvl w:ilvl="8">
      <w:start w:val="1"/>
      <w:numFmt w:val="decimal"/>
      <w:pStyle w:val="896"/>
      <w:isLgl w:val="false"/>
      <w:suff w:val="nothing"/>
      <w:lvlText w:val=""/>
      <w:lvlJc w:val="left"/>
      <w:pPr>
        <w:pStyle w:val="887"/>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88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7"/>
    <w:next w:val="887"/>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7"/>
    <w:next w:val="887"/>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7"/>
    <w:next w:val="887"/>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7"/>
    <w:next w:val="887"/>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7"/>
    <w:next w:val="887"/>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7"/>
    <w:next w:val="887"/>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7"/>
    <w:next w:val="887"/>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7"/>
    <w:next w:val="887"/>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7"/>
    <w:next w:val="887"/>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List Paragraph"/>
    <w:basedOn w:val="887"/>
    <w:uiPriority w:val="34"/>
    <w:qFormat/>
    <w:pPr>
      <w:contextualSpacing/>
      <w:ind w:left="720"/>
    </w:pPr>
  </w:style>
  <w:style w:type="paragraph" w:styleId="728">
    <w:name w:val="No Spacing"/>
    <w:uiPriority w:val="1"/>
    <w:qFormat/>
    <w:pPr>
      <w:spacing w:before="0" w:after="0" w:line="240" w:lineRule="auto"/>
    </w:pPr>
  </w:style>
  <w:style w:type="paragraph" w:styleId="729">
    <w:name w:val="Title"/>
    <w:basedOn w:val="887"/>
    <w:next w:val="887"/>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887"/>
    <w:next w:val="887"/>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887"/>
    <w:next w:val="887"/>
    <w:link w:val="734"/>
    <w:uiPriority w:val="29"/>
    <w:qFormat/>
    <w:pPr>
      <w:ind w:left="720" w:right="720"/>
    </w:pPr>
    <w:rPr>
      <w:i/>
    </w:rPr>
  </w:style>
  <w:style w:type="character" w:styleId="734">
    <w:name w:val="Quote Char"/>
    <w:link w:val="733"/>
    <w:uiPriority w:val="29"/>
    <w:rPr>
      <w:i/>
    </w:rPr>
  </w:style>
  <w:style w:type="paragraph" w:styleId="735">
    <w:name w:val="Intense Quote"/>
    <w:basedOn w:val="887"/>
    <w:next w:val="8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965"/>
    <w:link w:val="887"/>
    <w:qFormat/>
    <w:pPr>
      <w:jc w:val="both"/>
      <w:widowControl w:val="off"/>
    </w:pPr>
    <w:rPr>
      <w:rFonts w:ascii="Times New Roman" w:hAnsi="Times New Roman"/>
      <w:sz w:val="21"/>
      <w:szCs w:val="21"/>
      <w:lang w:val="en-US" w:eastAsia="zh-CN" w:bidi="ar-SA"/>
    </w:rPr>
  </w:style>
  <w:style w:type="paragraph" w:styleId="888">
    <w:name w:val="标题 1"/>
    <w:basedOn w:val="887"/>
    <w:next w:val="887"/>
    <w:link w:val="932"/>
    <w:qFormat/>
    <w:pPr>
      <w:jc w:val="center"/>
      <w:keepNext/>
      <w:outlineLvl w:val="0"/>
    </w:pPr>
    <w:rPr>
      <w:rFonts w:ascii="楷体_GB2312" w:eastAsia="楷体_GB2312"/>
      <w:sz w:val="28"/>
      <w:szCs w:val="28"/>
    </w:rPr>
  </w:style>
  <w:style w:type="paragraph" w:styleId="889">
    <w:name w:val="标题 2"/>
    <w:basedOn w:val="887"/>
    <w:next w:val="955"/>
    <w:link w:val="903"/>
    <w:qFormat/>
    <w:pPr>
      <w:jc w:val="center"/>
      <w:keepLines/>
      <w:keepNext/>
      <w:spacing w:before="260" w:after="260" w:line="416" w:lineRule="auto"/>
      <w:outlineLvl w:val="1"/>
    </w:pPr>
    <w:rPr>
      <w:rFonts w:ascii="Arial" w:hAnsi="Arial" w:eastAsia="幼圆"/>
      <w:b/>
      <w:bCs/>
      <w:sz w:val="44"/>
      <w:szCs w:val="44"/>
    </w:rPr>
  </w:style>
  <w:style w:type="paragraph" w:styleId="890">
    <w:name w:val="标题 3"/>
    <w:basedOn w:val="887"/>
    <w:next w:val="955"/>
    <w:link w:val="923"/>
    <w:qFormat/>
    <w:pPr>
      <w:keepLines/>
      <w:keepNext/>
      <w:spacing w:before="260" w:after="260" w:line="416" w:lineRule="auto"/>
      <w:outlineLvl w:val="2"/>
    </w:pPr>
    <w:rPr>
      <w:b/>
      <w:bCs/>
      <w:sz w:val="32"/>
      <w:szCs w:val="32"/>
    </w:rPr>
  </w:style>
  <w:style w:type="paragraph" w:styleId="891">
    <w:name w:val="标题 4"/>
    <w:basedOn w:val="887"/>
    <w:next w:val="955"/>
    <w:link w:val="919"/>
    <w:qFormat/>
    <w:pPr>
      <w:keepLines/>
      <w:keepNext/>
      <w:spacing w:before="280" w:after="290" w:line="376" w:lineRule="auto"/>
      <w:outlineLvl w:val="3"/>
    </w:pPr>
    <w:rPr>
      <w:rFonts w:ascii="Arial" w:hAnsi="Arial" w:eastAsia="黑体"/>
      <w:b/>
      <w:bCs/>
      <w:sz w:val="28"/>
      <w:szCs w:val="28"/>
    </w:rPr>
  </w:style>
  <w:style w:type="paragraph" w:styleId="892">
    <w:name w:val="标题 5"/>
    <w:basedOn w:val="887"/>
    <w:next w:val="955"/>
    <w:link w:val="924"/>
    <w:qFormat/>
    <w:pPr>
      <w:keepNext/>
      <w:outlineLvl w:val="4"/>
    </w:pPr>
    <w:rPr>
      <w:rFonts w:ascii="宋体"/>
      <w:color w:val="000000"/>
      <w:sz w:val="28"/>
      <w:szCs w:val="28"/>
    </w:rPr>
  </w:style>
  <w:style w:type="paragraph" w:styleId="893">
    <w:name w:val="标题 6"/>
    <w:basedOn w:val="887"/>
    <w:next w:val="887"/>
    <w:link w:val="929"/>
    <w:qFormat/>
    <w:pPr>
      <w:numPr>
        <w:ilvl w:val="5"/>
        <w:numId w:val="1"/>
      </w:numPr>
      <w:keepLines/>
      <w:keepNext/>
      <w:spacing w:before="240" w:after="64" w:line="320" w:lineRule="auto"/>
      <w:outlineLvl w:val="5"/>
    </w:pPr>
    <w:rPr>
      <w:rFonts w:ascii="Arial" w:hAnsi="Arial" w:eastAsia="黑体"/>
      <w:b/>
      <w:bCs/>
      <w:sz w:val="24"/>
      <w:szCs w:val="24"/>
    </w:rPr>
  </w:style>
  <w:style w:type="paragraph" w:styleId="894">
    <w:name w:val="标题 7"/>
    <w:basedOn w:val="887"/>
    <w:next w:val="887"/>
    <w:link w:val="902"/>
    <w:qFormat/>
    <w:pPr>
      <w:numPr>
        <w:ilvl w:val="6"/>
        <w:numId w:val="1"/>
      </w:numPr>
      <w:keepLines/>
      <w:keepNext/>
      <w:spacing w:before="240" w:after="64" w:line="320" w:lineRule="auto"/>
      <w:outlineLvl w:val="6"/>
    </w:pPr>
    <w:rPr>
      <w:b/>
      <w:bCs/>
      <w:sz w:val="24"/>
      <w:szCs w:val="24"/>
    </w:rPr>
  </w:style>
  <w:style w:type="paragraph" w:styleId="895">
    <w:name w:val="标题 8"/>
    <w:basedOn w:val="887"/>
    <w:next w:val="887"/>
    <w:link w:val="917"/>
    <w:qFormat/>
    <w:pPr>
      <w:numPr>
        <w:ilvl w:val="7"/>
        <w:numId w:val="1"/>
      </w:numPr>
      <w:keepLines/>
      <w:keepNext/>
      <w:spacing w:before="240" w:after="64" w:line="320" w:lineRule="auto"/>
      <w:outlineLvl w:val="7"/>
    </w:pPr>
    <w:rPr>
      <w:rFonts w:ascii="Arial" w:hAnsi="Arial" w:eastAsia="黑体"/>
      <w:sz w:val="24"/>
      <w:szCs w:val="24"/>
    </w:rPr>
  </w:style>
  <w:style w:type="paragraph" w:styleId="896">
    <w:name w:val="标题 9"/>
    <w:basedOn w:val="887"/>
    <w:next w:val="887"/>
    <w:link w:val="908"/>
    <w:qFormat/>
    <w:pPr>
      <w:numPr>
        <w:ilvl w:val="8"/>
        <w:numId w:val="1"/>
      </w:numPr>
      <w:keepLines/>
      <w:keepNext/>
      <w:spacing w:before="240" w:after="64" w:line="320" w:lineRule="auto"/>
      <w:outlineLvl w:val="8"/>
    </w:pPr>
    <w:rPr>
      <w:rFonts w:ascii="Arial" w:hAnsi="Arial" w:eastAsia="黑体"/>
      <w:sz w:val="20"/>
    </w:rPr>
  </w:style>
  <w:style w:type="character" w:styleId="897">
    <w:name w:val="默认段落字体"/>
    <w:next w:val="897"/>
    <w:link w:val="887"/>
    <w:uiPriority w:val="1"/>
    <w:unhideWhenUsed/>
  </w:style>
  <w:style w:type="table" w:styleId="898">
    <w:name w:val="普通表格"/>
    <w:next w:val="898"/>
    <w:link w:val="887"/>
    <w:uiPriority w:val="99"/>
    <w:unhideWhenUsed/>
    <w:tblPr/>
  </w:style>
  <w:style w:type="character" w:styleId="899">
    <w:name w:val="正文缩进 Char"/>
    <w:next w:val="899"/>
    <w:link w:val="955"/>
    <w:rPr>
      <w:rFonts w:ascii="Times New Roman" w:hAnsi="Times New Roman" w:eastAsia="宋体" w:cs="Times New Roman"/>
      <w:szCs w:val="21"/>
    </w:rPr>
  </w:style>
  <w:style w:type="character" w:styleId="900">
    <w:name w:val="已访问的超链接"/>
    <w:next w:val="900"/>
    <w:link w:val="887"/>
    <w:rPr>
      <w:color w:val="800080"/>
      <w:u w:val="single"/>
    </w:rPr>
  </w:style>
  <w:style w:type="character" w:styleId="901">
    <w:name w:val="超链接"/>
    <w:next w:val="901"/>
    <w:link w:val="887"/>
    <w:rPr>
      <w:color w:val="0000ff"/>
      <w:u w:val="single"/>
    </w:rPr>
  </w:style>
  <w:style w:type="character" w:styleId="902">
    <w:name w:val="标题 7 Char"/>
    <w:next w:val="902"/>
    <w:link w:val="894"/>
    <w:rPr>
      <w:rFonts w:ascii="Times New Roman" w:hAnsi="Times New Roman" w:eastAsia="宋体" w:cs="Times New Roman"/>
      <w:b/>
      <w:bCs/>
      <w:sz w:val="24"/>
      <w:szCs w:val="24"/>
    </w:rPr>
  </w:style>
  <w:style w:type="character" w:styleId="903">
    <w:name w:val="标题 2 Char"/>
    <w:next w:val="903"/>
    <w:link w:val="889"/>
    <w:rPr>
      <w:rFonts w:ascii="Arial" w:hAnsi="Arial" w:eastAsia="幼圆" w:cs="Arial"/>
      <w:b/>
      <w:bCs/>
      <w:sz w:val="44"/>
      <w:szCs w:val="44"/>
    </w:rPr>
  </w:style>
  <w:style w:type="character" w:styleId="904">
    <w:name w:val="批注引用"/>
    <w:next w:val="904"/>
    <w:link w:val="887"/>
    <w:semiHidden/>
    <w:rPr>
      <w:sz w:val="21"/>
      <w:szCs w:val="21"/>
    </w:rPr>
  </w:style>
  <w:style w:type="character" w:styleId="905">
    <w:name w:val="要点"/>
    <w:next w:val="905"/>
    <w:link w:val="887"/>
    <w:qFormat/>
    <w:rPr>
      <w:b/>
      <w:bCs/>
    </w:rPr>
  </w:style>
  <w:style w:type="character" w:styleId="906">
    <w:name w:val="页码"/>
    <w:next w:val="906"/>
    <w:link w:val="887"/>
  </w:style>
  <w:style w:type="character" w:styleId="907">
    <w:name w:val="强调"/>
    <w:basedOn w:val="897"/>
    <w:next w:val="907"/>
    <w:link w:val="887"/>
    <w:qFormat/>
    <w:rPr>
      <w:i/>
    </w:rPr>
  </w:style>
  <w:style w:type="character" w:styleId="908">
    <w:name w:val="标题 9 Char"/>
    <w:next w:val="908"/>
    <w:link w:val="896"/>
    <w:rPr>
      <w:rFonts w:ascii="Arial" w:hAnsi="Arial" w:eastAsia="黑体" w:cs="Times New Roman"/>
      <w:szCs w:val="21"/>
    </w:rPr>
  </w:style>
  <w:style w:type="character" w:styleId="909">
    <w:name w:val="日期 Char"/>
    <w:next w:val="909"/>
    <w:link w:val="959"/>
    <w:rPr>
      <w:rFonts w:ascii="Times New Roman" w:hAnsi="Times New Roman" w:eastAsia="宋体" w:cs="Times New Roman"/>
      <w:sz w:val="24"/>
      <w:szCs w:val="24"/>
    </w:rPr>
  </w:style>
  <w:style w:type="character" w:styleId="910">
    <w:name w:val="font5 Char"/>
    <w:next w:val="910"/>
    <w:link w:val="887"/>
    <w:rPr>
      <w:rFonts w:ascii="宋体" w:hAnsi="宋体" w:eastAsia="宋体"/>
      <w:sz w:val="28"/>
      <w:szCs w:val="28"/>
      <w:lang w:val="en-US" w:eastAsia="zh-CN" w:bidi="ar-SA"/>
    </w:rPr>
  </w:style>
  <w:style w:type="character" w:styleId="911">
    <w:name w:val="正文文本缩进 Char"/>
    <w:next w:val="911"/>
    <w:link w:val="945"/>
    <w:rPr>
      <w:rFonts w:ascii="楷体_GB2312" w:hAnsi="Times New Roman" w:eastAsia="楷体_GB2312" w:cs="Times New Roman"/>
      <w:sz w:val="32"/>
      <w:szCs w:val="32"/>
    </w:rPr>
  </w:style>
  <w:style w:type="character" w:styleId="912">
    <w:name w:val="页脚 Char"/>
    <w:next w:val="912"/>
    <w:link w:val="950"/>
    <w:uiPriority w:val="99"/>
    <w:rPr>
      <w:rFonts w:ascii="Times New Roman" w:hAnsi="Times New Roman" w:eastAsia="宋体" w:cs="Times New Roman"/>
      <w:sz w:val="18"/>
      <w:szCs w:val="18"/>
    </w:rPr>
  </w:style>
  <w:style w:type="character" w:styleId="913">
    <w:name w:val="页眉 Char"/>
    <w:next w:val="913"/>
    <w:link w:val="948"/>
    <w:rPr>
      <w:rFonts w:ascii="Times New Roman" w:hAnsi="Times New Roman" w:eastAsia="宋体" w:cs="Times New Roman"/>
      <w:sz w:val="18"/>
      <w:szCs w:val="18"/>
    </w:rPr>
  </w:style>
  <w:style w:type="character" w:styleId="914">
    <w:name w:val="正文首行缩进 Char"/>
    <w:next w:val="914"/>
    <w:link w:val="958"/>
    <w:rPr>
      <w:rFonts w:ascii="仿宋_GB2312" w:hAnsi="Times New Roman" w:eastAsia="仿宋_GB2312" w:cs="Times New Roman"/>
      <w:sz w:val="30"/>
      <w:szCs w:val="30"/>
    </w:rPr>
  </w:style>
  <w:style w:type="character" w:styleId="915">
    <w:name w:val="批注文字 Char"/>
    <w:next w:val="915"/>
    <w:link w:val="961"/>
    <w:semiHidden/>
    <w:rPr>
      <w:rFonts w:ascii="Times New Roman" w:hAnsi="Times New Roman" w:eastAsia="宋体" w:cs="Times New Roman"/>
      <w:szCs w:val="21"/>
    </w:rPr>
  </w:style>
  <w:style w:type="character" w:styleId="916">
    <w:name w:val="批注框文本 Char"/>
    <w:next w:val="916"/>
    <w:link w:val="951"/>
    <w:semiHidden/>
    <w:rPr>
      <w:rFonts w:ascii="Times New Roman" w:hAnsi="Times New Roman" w:eastAsia="宋体" w:cs="Times New Roman"/>
      <w:sz w:val="18"/>
      <w:szCs w:val="18"/>
    </w:rPr>
  </w:style>
  <w:style w:type="character" w:styleId="917">
    <w:name w:val="标题 8 Char"/>
    <w:next w:val="917"/>
    <w:link w:val="895"/>
    <w:rPr>
      <w:rFonts w:ascii="Arial" w:hAnsi="Arial" w:eastAsia="黑体" w:cs="Times New Roman"/>
      <w:sz w:val="24"/>
      <w:szCs w:val="24"/>
    </w:rPr>
  </w:style>
  <w:style w:type="character" w:styleId="918">
    <w:name w:val="列出段落 Char,Bullet List Char,numbered Char,FooterText Char,List Paragraph1 Char,Paragraphe de liste1 Char"/>
    <w:next w:val="918"/>
    <w:link w:val="993"/>
    <w:rPr>
      <w:rFonts w:ascii="Calibri" w:hAnsi="Calibri"/>
      <w:sz w:val="24"/>
      <w:szCs w:val="24"/>
      <w:lang w:eastAsia="en-US" w:bidi="en-US"/>
    </w:rPr>
  </w:style>
  <w:style w:type="character" w:styleId="919">
    <w:name w:val="标题 4 Char"/>
    <w:next w:val="919"/>
    <w:link w:val="891"/>
    <w:rPr>
      <w:rFonts w:ascii="Arial" w:hAnsi="Arial" w:eastAsia="黑体" w:cs="Arial"/>
      <w:b/>
      <w:bCs/>
      <w:sz w:val="28"/>
      <w:szCs w:val="28"/>
    </w:rPr>
  </w:style>
  <w:style w:type="character" w:styleId="920">
    <w:name w:val="纯文本 Char"/>
    <w:next w:val="920"/>
    <w:link w:val="952"/>
    <w:rPr>
      <w:rFonts w:ascii="宋体" w:hAnsi="Courier New" w:eastAsia="宋体" w:cs="Courier New"/>
      <w:szCs w:val="21"/>
    </w:rPr>
  </w:style>
  <w:style w:type="character" w:styleId="921">
    <w:name w:val="正文文本缩进 2 Char"/>
    <w:next w:val="921"/>
    <w:link w:val="949"/>
    <w:rPr>
      <w:rFonts w:ascii="Arial" w:hAnsi="Arial" w:eastAsia="仿宋_GB2312" w:cs="Arial"/>
      <w:sz w:val="32"/>
      <w:szCs w:val="32"/>
    </w:rPr>
  </w:style>
  <w:style w:type="character" w:styleId="922">
    <w:name w:val="正文文本 Char"/>
    <w:next w:val="922"/>
    <w:link w:val="960"/>
    <w:rPr>
      <w:rFonts w:ascii="楷体_GB2312" w:hAnsi="Arial" w:eastAsia="楷体_GB2312" w:cs="Times New Roman"/>
      <w:sz w:val="28"/>
      <w:szCs w:val="28"/>
    </w:rPr>
  </w:style>
  <w:style w:type="character" w:styleId="923">
    <w:name w:val="标题 3 Char"/>
    <w:next w:val="923"/>
    <w:link w:val="890"/>
    <w:rPr>
      <w:rFonts w:ascii="Times New Roman" w:hAnsi="Times New Roman" w:eastAsia="宋体" w:cs="Times New Roman"/>
      <w:b/>
      <w:bCs/>
      <w:sz w:val="32"/>
      <w:szCs w:val="32"/>
    </w:rPr>
  </w:style>
  <w:style w:type="character" w:styleId="924">
    <w:name w:val="标题 5 Char"/>
    <w:next w:val="924"/>
    <w:link w:val="892"/>
    <w:rPr>
      <w:rFonts w:ascii="宋体" w:hAnsi="Times New Roman" w:eastAsia="宋体" w:cs="Times New Roman"/>
      <w:color w:val="000000"/>
      <w:sz w:val="28"/>
      <w:szCs w:val="28"/>
    </w:rPr>
  </w:style>
  <w:style w:type="character" w:styleId="925">
    <w:name w:val="批注主题 Char"/>
    <w:next w:val="925"/>
    <w:link w:val="967"/>
    <w:semiHidden/>
    <w:rPr>
      <w:rFonts w:ascii="Times New Roman" w:hAnsi="Times New Roman" w:eastAsia="宋体" w:cs="Times New Roman"/>
      <w:b/>
      <w:bCs/>
      <w:szCs w:val="21"/>
    </w:rPr>
  </w:style>
  <w:style w:type="character" w:styleId="926">
    <w:name w:val="正文文本缩进 3 Char"/>
    <w:next w:val="926"/>
    <w:link w:val="970"/>
    <w:rPr>
      <w:rFonts w:ascii="Arial" w:hAnsi="Arial" w:eastAsia="仿宋_GB2312" w:cs="Arial"/>
      <w:color w:val="ffff00"/>
      <w:sz w:val="32"/>
      <w:szCs w:val="32"/>
    </w:rPr>
  </w:style>
  <w:style w:type="character" w:styleId="927">
    <w:name w:val="二级目录 Char"/>
    <w:next w:val="927"/>
    <w:link w:val="985"/>
    <w:rPr>
      <w:b/>
      <w:sz w:val="30"/>
      <w:szCs w:val="28"/>
      <w:lang w:val="en-US" w:eastAsia="zh-CN" w:bidi="ar-SA"/>
    </w:rPr>
  </w:style>
  <w:style w:type="character" w:styleId="928">
    <w:name w:val="文档结构图 Char"/>
    <w:next w:val="928"/>
    <w:link w:val="935"/>
    <w:semiHidden/>
    <w:rPr>
      <w:rFonts w:ascii="Times New Roman" w:hAnsi="Times New Roman" w:eastAsia="宋体" w:cs="Times New Roman"/>
      <w:szCs w:val="21"/>
      <w:shd w:val="clear" w:color="auto" w:fill="000080"/>
    </w:rPr>
  </w:style>
  <w:style w:type="character" w:styleId="929">
    <w:name w:val="标题 6 Char"/>
    <w:next w:val="929"/>
    <w:link w:val="893"/>
    <w:rPr>
      <w:rFonts w:ascii="Arial" w:hAnsi="Arial" w:eastAsia="黑体" w:cs="Times New Roman"/>
      <w:b/>
      <w:bCs/>
      <w:sz w:val="24"/>
      <w:szCs w:val="24"/>
    </w:rPr>
  </w:style>
  <w:style w:type="character" w:styleId="930">
    <w:name w:val="正文文本 2 Char"/>
    <w:next w:val="930"/>
    <w:link w:val="936"/>
    <w:rPr>
      <w:rFonts w:ascii="楷体_GB2312" w:hAnsi="Times New Roman" w:eastAsia="楷体_GB2312" w:cs="Times New Roman"/>
      <w:sz w:val="28"/>
      <w:szCs w:val="28"/>
    </w:rPr>
  </w:style>
  <w:style w:type="character" w:styleId="931">
    <w:name w:val="正文首行缩进 2 Char"/>
    <w:next w:val="931"/>
    <w:link w:val="956"/>
    <w:rPr>
      <w:rFonts w:ascii="宋体" w:hAnsi="宋体" w:eastAsia="宋体" w:cs="Times New Roman"/>
      <w:sz w:val="32"/>
      <w:szCs w:val="20"/>
    </w:rPr>
  </w:style>
  <w:style w:type="character" w:styleId="932">
    <w:name w:val="标题 1 Char"/>
    <w:next w:val="932"/>
    <w:link w:val="888"/>
    <w:rPr>
      <w:rFonts w:ascii="楷体_GB2312" w:hAnsi="Times New Roman" w:eastAsia="楷体_GB2312" w:cs="Times New Roman"/>
      <w:sz w:val="28"/>
      <w:szCs w:val="28"/>
    </w:rPr>
  </w:style>
  <w:style w:type="character" w:styleId="933">
    <w:name w:val="正文文本 3 Char"/>
    <w:next w:val="933"/>
    <w:link w:val="953"/>
    <w:rPr>
      <w:rFonts w:ascii="仿宋_GB2312" w:hAnsi="Arial" w:eastAsia="仿宋_GB2312" w:cs="Times New Roman"/>
      <w:sz w:val="32"/>
      <w:szCs w:val="32"/>
    </w:rPr>
  </w:style>
  <w:style w:type="character" w:styleId="934">
    <w:name w:val="15"/>
    <w:next w:val="934"/>
    <w:link w:val="887"/>
    <w:rPr>
      <w:rFonts w:hint="eastAsia" w:ascii="宋体" w:hAnsi="宋体" w:eastAsia="宋体"/>
      <w:color w:val="000000"/>
      <w:sz w:val="18"/>
      <w:szCs w:val="18"/>
    </w:rPr>
  </w:style>
  <w:style w:type="paragraph" w:styleId="935">
    <w:name w:val="文档结构图"/>
    <w:basedOn w:val="887"/>
    <w:next w:val="935"/>
    <w:link w:val="928"/>
    <w:semiHidden/>
    <w:pPr>
      <w:shd w:val="clear" w:color="auto" w:fill="000080"/>
    </w:pPr>
    <w:rPr>
      <w:sz w:val="20"/>
    </w:rPr>
  </w:style>
  <w:style w:type="paragraph" w:styleId="936">
    <w:name w:val="正文文本 2"/>
    <w:basedOn w:val="887"/>
    <w:next w:val="936"/>
    <w:link w:val="930"/>
    <w:pPr>
      <w:jc w:val="center"/>
      <w:widowControl/>
    </w:pPr>
    <w:rPr>
      <w:rFonts w:ascii="楷体_GB2312" w:eastAsia="楷体_GB2312"/>
      <w:sz w:val="28"/>
      <w:szCs w:val="28"/>
    </w:rPr>
  </w:style>
  <w:style w:type="paragraph" w:styleId="937">
    <w:name w:val="列表 3"/>
    <w:basedOn w:val="887"/>
    <w:next w:val="937"/>
    <w:link w:val="887"/>
    <w:pPr>
      <w:ind w:left="100" w:hanging="200"/>
    </w:pPr>
  </w:style>
  <w:style w:type="paragraph" w:styleId="938">
    <w:name w:val="图表目录"/>
    <w:basedOn w:val="887"/>
    <w:next w:val="887"/>
    <w:link w:val="887"/>
    <w:semiHidden/>
    <w:pPr>
      <w:ind w:left="840" w:hanging="420"/>
    </w:pPr>
  </w:style>
  <w:style w:type="paragraph" w:styleId="939">
    <w:name w:val="列表"/>
    <w:basedOn w:val="887"/>
    <w:next w:val="939"/>
    <w:link w:val="887"/>
    <w:pPr>
      <w:ind w:left="200" w:hanging="200"/>
    </w:pPr>
  </w:style>
  <w:style w:type="paragraph" w:styleId="940">
    <w:name w:val="目录 1"/>
    <w:basedOn w:val="887"/>
    <w:next w:val="887"/>
    <w:link w:val="887"/>
    <w:semiHidden/>
    <w:pPr>
      <w:jc w:val="left"/>
      <w:spacing w:before="120" w:after="120" w:line="400" w:lineRule="exact"/>
      <w:tabs>
        <w:tab w:val="right" w:pos="8720" w:leader="dot"/>
      </w:tabs>
    </w:pPr>
    <w:rPr>
      <w:rFonts w:ascii="宋体" w:hAnsi="宋体"/>
      <w:caps/>
      <w:sz w:val="24"/>
      <w:szCs w:val="24"/>
    </w:rPr>
  </w:style>
  <w:style w:type="paragraph" w:styleId="941">
    <w:name w:val="普通(网站)"/>
    <w:basedOn w:val="887"/>
    <w:next w:val="941"/>
    <w:link w:val="887"/>
    <w:uiPriority w:val="99"/>
    <w:pPr>
      <w:jc w:val="left"/>
      <w:spacing w:before="100" w:beforeAutospacing="1" w:after="100" w:afterAutospacing="1"/>
      <w:widowControl/>
    </w:pPr>
    <w:rPr>
      <w:rFonts w:ascii="宋体" w:hAnsi="宋体" w:cs="宋体"/>
      <w:sz w:val="24"/>
      <w:szCs w:val="24"/>
    </w:rPr>
  </w:style>
  <w:style w:type="paragraph" w:styleId="942">
    <w:name w:val="目录 8"/>
    <w:basedOn w:val="887"/>
    <w:next w:val="887"/>
    <w:link w:val="887"/>
    <w:semiHidden/>
    <w:pPr>
      <w:ind w:left="1470"/>
      <w:jc w:val="left"/>
    </w:pPr>
  </w:style>
  <w:style w:type="paragraph" w:styleId="943">
    <w:name w:val="目录 3"/>
    <w:basedOn w:val="887"/>
    <w:next w:val="887"/>
    <w:link w:val="887"/>
    <w:semiHidden/>
    <w:pPr>
      <w:ind w:left="420"/>
      <w:jc w:val="left"/>
    </w:pPr>
    <w:rPr>
      <w:i/>
      <w:iCs/>
      <w:szCs w:val="24"/>
    </w:rPr>
  </w:style>
  <w:style w:type="paragraph" w:styleId="944">
    <w:name w:val="寄信人地址"/>
    <w:basedOn w:val="887"/>
    <w:next w:val="944"/>
    <w:link w:val="887"/>
    <w:uiPriority w:val="99"/>
    <w:unhideWhenUsed/>
    <w:qFormat/>
    <w:rPr>
      <w:rFonts w:ascii="Cambria" w:hAnsi="Cambria" w:eastAsia="宋体" w:cs="Times New Roman"/>
    </w:rPr>
  </w:style>
  <w:style w:type="paragraph" w:styleId="945">
    <w:name w:val="正文文本缩进"/>
    <w:basedOn w:val="887"/>
    <w:next w:val="944"/>
    <w:link w:val="911"/>
    <w:pPr>
      <w:ind w:firstLine="645"/>
    </w:pPr>
    <w:rPr>
      <w:rFonts w:ascii="楷体_GB2312" w:eastAsia="楷体_GB2312"/>
      <w:sz w:val="32"/>
      <w:szCs w:val="32"/>
    </w:rPr>
  </w:style>
  <w:style w:type="paragraph" w:styleId="946">
    <w:name w:val="索引 1"/>
    <w:basedOn w:val="887"/>
    <w:next w:val="887"/>
    <w:link w:val="887"/>
    <w:semiHidden/>
    <w:pPr>
      <w:spacing w:line="240" w:lineRule="atLeast"/>
    </w:pPr>
    <w:rPr>
      <w:b/>
      <w:bCs/>
    </w:rPr>
  </w:style>
  <w:style w:type="paragraph" w:styleId="947">
    <w:name w:val="目录 6"/>
    <w:basedOn w:val="887"/>
    <w:next w:val="887"/>
    <w:link w:val="887"/>
    <w:semiHidden/>
    <w:pPr>
      <w:ind w:left="1050"/>
      <w:jc w:val="left"/>
    </w:pPr>
  </w:style>
  <w:style w:type="paragraph" w:styleId="948">
    <w:name w:val="页眉"/>
    <w:basedOn w:val="887"/>
    <w:next w:val="948"/>
    <w:link w:val="913"/>
    <w:pPr>
      <w:jc w:val="center"/>
      <w:tabs>
        <w:tab w:val="center" w:pos="4153" w:leader="none"/>
        <w:tab w:val="right" w:pos="8306" w:leader="none"/>
      </w:tabs>
      <w:pBdr>
        <w:bottom w:val="single" w:color="000000" w:sz="6" w:space="1"/>
      </w:pBdr>
    </w:pPr>
    <w:rPr>
      <w:sz w:val="18"/>
      <w:szCs w:val="18"/>
    </w:rPr>
  </w:style>
  <w:style w:type="paragraph" w:styleId="949">
    <w:name w:val="正文文本缩进 2"/>
    <w:basedOn w:val="887"/>
    <w:next w:val="949"/>
    <w:link w:val="921"/>
    <w:pPr>
      <w:ind w:left="630" w:firstLine="645"/>
    </w:pPr>
    <w:rPr>
      <w:rFonts w:ascii="Arial" w:hAnsi="Arial" w:eastAsia="仿宋_GB2312"/>
      <w:sz w:val="32"/>
      <w:szCs w:val="32"/>
    </w:rPr>
  </w:style>
  <w:style w:type="paragraph" w:styleId="950">
    <w:name w:val="页脚"/>
    <w:basedOn w:val="887"/>
    <w:next w:val="950"/>
    <w:link w:val="912"/>
    <w:uiPriority w:val="99"/>
    <w:pPr>
      <w:jc w:val="left"/>
      <w:tabs>
        <w:tab w:val="center" w:pos="4153" w:leader="none"/>
        <w:tab w:val="right" w:pos="8306" w:leader="none"/>
      </w:tabs>
    </w:pPr>
    <w:rPr>
      <w:sz w:val="18"/>
      <w:szCs w:val="18"/>
    </w:rPr>
  </w:style>
  <w:style w:type="paragraph" w:styleId="951">
    <w:name w:val="批注框文本"/>
    <w:basedOn w:val="887"/>
    <w:next w:val="951"/>
    <w:link w:val="916"/>
    <w:semiHidden/>
    <w:rPr>
      <w:sz w:val="18"/>
      <w:szCs w:val="18"/>
    </w:rPr>
  </w:style>
  <w:style w:type="paragraph" w:styleId="952">
    <w:name w:val="纯文本"/>
    <w:basedOn w:val="887"/>
    <w:next w:val="952"/>
    <w:link w:val="920"/>
    <w:rPr>
      <w:rFonts w:ascii="宋体" w:hAnsi="Courier New"/>
      <w:sz w:val="20"/>
    </w:rPr>
  </w:style>
  <w:style w:type="paragraph" w:styleId="953">
    <w:name w:val="正文文本 3"/>
    <w:basedOn w:val="887"/>
    <w:next w:val="953"/>
    <w:link w:val="933"/>
    <w:rPr>
      <w:rFonts w:ascii="仿宋_GB2312" w:hAnsi="Arial" w:eastAsia="仿宋_GB2312"/>
      <w:sz w:val="32"/>
      <w:szCs w:val="32"/>
    </w:rPr>
  </w:style>
  <w:style w:type="paragraph" w:styleId="954">
    <w:name w:val="目录 7"/>
    <w:basedOn w:val="887"/>
    <w:next w:val="887"/>
    <w:link w:val="887"/>
    <w:semiHidden/>
    <w:pPr>
      <w:ind w:left="1260"/>
      <w:jc w:val="left"/>
    </w:pPr>
  </w:style>
  <w:style w:type="paragraph" w:styleId="955">
    <w:name w:val="正文缩进"/>
    <w:basedOn w:val="887"/>
    <w:next w:val="955"/>
    <w:link w:val="899"/>
    <w:pPr>
      <w:ind w:firstLine="420"/>
    </w:pPr>
    <w:rPr>
      <w:sz w:val="20"/>
    </w:rPr>
  </w:style>
  <w:style w:type="paragraph" w:styleId="956">
    <w:name w:val="正文首行缩进 2"/>
    <w:basedOn w:val="945"/>
    <w:next w:val="956"/>
    <w:link w:val="931"/>
    <w:pPr>
      <w:ind w:firstLine="420"/>
      <w:spacing w:line="360" w:lineRule="auto"/>
    </w:pPr>
    <w:rPr>
      <w:rFonts w:ascii="宋体" w:hAnsi="宋体" w:eastAsia="宋体"/>
      <w:szCs w:val="20"/>
    </w:rPr>
  </w:style>
  <w:style w:type="paragraph" w:styleId="957">
    <w:name w:val="目录 2"/>
    <w:basedOn w:val="887"/>
    <w:next w:val="887"/>
    <w:link w:val="887"/>
    <w:semiHidden/>
    <w:pPr>
      <w:ind w:left="210"/>
      <w:jc w:val="left"/>
    </w:pPr>
    <w:rPr>
      <w:smallCaps/>
      <w:szCs w:val="24"/>
    </w:rPr>
  </w:style>
  <w:style w:type="paragraph" w:styleId="958">
    <w:name w:val="正文首行缩进"/>
    <w:basedOn w:val="887"/>
    <w:next w:val="958"/>
    <w:link w:val="914"/>
    <w:pPr>
      <w:ind w:firstLine="200"/>
      <w:spacing w:line="360" w:lineRule="auto"/>
    </w:pPr>
    <w:rPr>
      <w:rFonts w:ascii="仿宋_GB2312" w:eastAsia="仿宋_GB2312"/>
      <w:sz w:val="30"/>
      <w:szCs w:val="30"/>
    </w:rPr>
  </w:style>
  <w:style w:type="paragraph" w:styleId="959">
    <w:name w:val="日期"/>
    <w:basedOn w:val="887"/>
    <w:next w:val="887"/>
    <w:link w:val="909"/>
    <w:rPr>
      <w:sz w:val="24"/>
      <w:szCs w:val="24"/>
    </w:rPr>
  </w:style>
  <w:style w:type="paragraph" w:styleId="960">
    <w:name w:val="正文文本"/>
    <w:basedOn w:val="887"/>
    <w:next w:val="960"/>
    <w:link w:val="922"/>
    <w:rPr>
      <w:rFonts w:ascii="楷体_GB2312" w:hAnsi="Arial" w:eastAsia="楷体_GB2312"/>
      <w:sz w:val="28"/>
      <w:szCs w:val="28"/>
    </w:rPr>
  </w:style>
  <w:style w:type="paragraph" w:styleId="961">
    <w:name w:val="批注文字"/>
    <w:basedOn w:val="887"/>
    <w:next w:val="961"/>
    <w:link w:val="915"/>
    <w:semiHidden/>
    <w:pPr>
      <w:jc w:val="left"/>
    </w:pPr>
    <w:rPr>
      <w:sz w:val="20"/>
    </w:rPr>
  </w:style>
  <w:style w:type="paragraph" w:styleId="962">
    <w:name w:val="附录1"/>
    <w:next w:val="962"/>
    <w:link w:val="88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3">
    <w:name w:val="4"/>
    <w:basedOn w:val="887"/>
    <w:next w:val="970"/>
    <w:link w:val="887"/>
    <w:pPr>
      <w:ind w:firstLine="420"/>
      <w:spacing w:line="360" w:lineRule="auto"/>
    </w:pPr>
    <w:rPr>
      <w:color w:val="ff0000"/>
      <w:sz w:val="24"/>
      <w:szCs w:val="24"/>
    </w:rPr>
  </w:style>
  <w:style w:type="paragraph" w:styleId="964">
    <w:name w:val="Char Char Char Char"/>
    <w:basedOn w:val="935"/>
    <w:next w:val="964"/>
    <w:link w:val="887"/>
    <w:pPr>
      <w:spacing w:line="360" w:lineRule="auto"/>
    </w:pPr>
    <w:rPr>
      <w:rFonts w:ascii="Tahoma" w:hAnsi="Tahoma"/>
      <w:sz w:val="24"/>
      <w:szCs w:val="24"/>
    </w:rPr>
  </w:style>
  <w:style w:type="paragraph" w:styleId="965">
    <w:name w:val="索引 41"/>
    <w:basedOn w:val="887"/>
    <w:next w:val="887"/>
    <w:link w:val="887"/>
    <w:qFormat/>
    <w:pPr>
      <w:ind w:left="600"/>
      <w:jc w:val="both"/>
    </w:pPr>
    <w:rPr>
      <w:rFonts w:ascii="Calibri" w:hAnsi="Calibri" w:cs="Times New Roman"/>
      <w:sz w:val="21"/>
    </w:rPr>
  </w:style>
  <w:style w:type="paragraph" w:styleId="966">
    <w:name w:val="列表 2"/>
    <w:basedOn w:val="887"/>
    <w:next w:val="966"/>
    <w:link w:val="887"/>
    <w:pPr>
      <w:ind w:left="100" w:hanging="200"/>
    </w:pPr>
  </w:style>
  <w:style w:type="paragraph" w:styleId="967">
    <w:name w:val="批注主题"/>
    <w:basedOn w:val="961"/>
    <w:next w:val="961"/>
    <w:link w:val="925"/>
    <w:semiHidden/>
    <w:rPr>
      <w:b/>
      <w:bCs/>
      <w:sz w:val="20"/>
    </w:rPr>
  </w:style>
  <w:style w:type="paragraph" w:styleId="968">
    <w:name w:val="目录 9"/>
    <w:basedOn w:val="887"/>
    <w:next w:val="887"/>
    <w:link w:val="887"/>
    <w:semiHidden/>
    <w:pPr>
      <w:ind w:left="1680"/>
      <w:jc w:val="left"/>
    </w:pPr>
  </w:style>
  <w:style w:type="paragraph" w:styleId="969">
    <w:name w:val="目录 4"/>
    <w:basedOn w:val="887"/>
    <w:next w:val="887"/>
    <w:link w:val="887"/>
    <w:semiHidden/>
    <w:pPr>
      <w:ind w:left="630"/>
      <w:jc w:val="left"/>
    </w:pPr>
  </w:style>
  <w:style w:type="paragraph" w:styleId="970">
    <w:name w:val="正文文本缩进 3"/>
    <w:basedOn w:val="887"/>
    <w:next w:val="970"/>
    <w:link w:val="926"/>
    <w:pPr>
      <w:ind w:left="645" w:firstLine="645"/>
    </w:pPr>
    <w:rPr>
      <w:rFonts w:ascii="Arial" w:hAnsi="Arial" w:eastAsia="仿宋_GB2312"/>
      <w:color w:val="ffff00"/>
      <w:sz w:val="32"/>
      <w:szCs w:val="32"/>
    </w:rPr>
  </w:style>
  <w:style w:type="paragraph" w:styleId="971">
    <w:name w:val="目录 5"/>
    <w:basedOn w:val="887"/>
    <w:next w:val="887"/>
    <w:link w:val="887"/>
    <w:semiHidden/>
    <w:pPr>
      <w:ind w:left="840"/>
      <w:jc w:val="left"/>
    </w:pPr>
  </w:style>
  <w:style w:type="paragraph" w:styleId="972">
    <w:name w:val="xl29"/>
    <w:basedOn w:val="887"/>
    <w:next w:val="972"/>
    <w:link w:val="88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3">
    <w:name w:val="修订"/>
    <w:next w:val="973"/>
    <w:link w:val="887"/>
    <w:uiPriority w:val="99"/>
    <w:semiHidden/>
    <w:rPr>
      <w:rFonts w:ascii="Times New Roman" w:hAnsi="Times New Roman"/>
      <w:sz w:val="21"/>
      <w:szCs w:val="21"/>
      <w:lang w:val="en-US" w:eastAsia="zh-CN" w:bidi="ar-SA"/>
    </w:rPr>
  </w:style>
  <w:style w:type="paragraph" w:styleId="974">
    <w:name w:val="图标"/>
    <w:basedOn w:val="887"/>
    <w:next w:val="887"/>
    <w:link w:val="88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5">
    <w:name w:val="xl25"/>
    <w:basedOn w:val="887"/>
    <w:next w:val="975"/>
    <w:link w:val="88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xl24"/>
    <w:basedOn w:val="887"/>
    <w:next w:val="976"/>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7">
    <w:name w:val="标题3"/>
    <w:basedOn w:val="887"/>
    <w:next w:val="887"/>
    <w:link w:val="887"/>
    <w:pPr>
      <w:ind w:firstLine="624"/>
      <w:spacing w:line="590" w:lineRule="atLeast"/>
    </w:pPr>
    <w:rPr>
      <w:rFonts w:ascii="方正黑体_GBK" w:eastAsia="方正黑体_GBK"/>
      <w:sz w:val="32"/>
      <w:szCs w:val="32"/>
    </w:rPr>
  </w:style>
  <w:style w:type="paragraph" w:styleId="978">
    <w:name w:val="xl30"/>
    <w:basedOn w:val="887"/>
    <w:next w:val="978"/>
    <w:link w:val="887"/>
    <w:pPr>
      <w:jc w:val="center"/>
      <w:spacing w:before="100" w:beforeAutospacing="1" w:after="100" w:afterAutospacing="1"/>
      <w:widowControl/>
    </w:pPr>
    <w:rPr>
      <w:rFonts w:ascii="宋体" w:hAnsi="宋体"/>
      <w:b/>
      <w:bCs/>
      <w:sz w:val="36"/>
      <w:szCs w:val="36"/>
    </w:rPr>
  </w:style>
  <w:style w:type="paragraph" w:styleId="979">
    <w:name w:val=" Char"/>
    <w:basedOn w:val="935"/>
    <w:next w:val="979"/>
    <w:link w:val="887"/>
    <w:rPr>
      <w:rFonts w:ascii="Tahoma" w:hAnsi="Tahoma"/>
      <w:sz w:val="24"/>
      <w:szCs w:val="24"/>
    </w:rPr>
  </w:style>
  <w:style w:type="paragraph" w:styleId="980">
    <w:name w:val="font7"/>
    <w:basedOn w:val="887"/>
    <w:next w:val="980"/>
    <w:link w:val="887"/>
    <w:pPr>
      <w:jc w:val="left"/>
      <w:spacing w:before="100" w:beforeAutospacing="1" w:after="100" w:afterAutospacing="1"/>
      <w:widowControl/>
    </w:pPr>
    <w:rPr>
      <w:rFonts w:hint="eastAsia" w:ascii="宋体" w:hAnsi="宋体"/>
      <w:sz w:val="18"/>
      <w:szCs w:val="18"/>
    </w:rPr>
  </w:style>
  <w:style w:type="paragraph" w:styleId="981">
    <w:name w:val="Body Text(ch)"/>
    <w:basedOn w:val="887"/>
    <w:next w:val="960"/>
    <w:link w:val="887"/>
    <w:pPr>
      <w:spacing w:after="120"/>
    </w:pPr>
    <w:rPr>
      <w:rFonts w:ascii="宋体" w:hAnsi="Arial"/>
      <w:bCs/>
      <w:iCs/>
      <w:szCs w:val="24"/>
    </w:rPr>
  </w:style>
  <w:style w:type="paragraph" w:styleId="982">
    <w:name w:val="font5"/>
    <w:basedOn w:val="887"/>
    <w:next w:val="982"/>
    <w:link w:val="887"/>
    <w:pPr>
      <w:jc w:val="left"/>
      <w:spacing w:before="100" w:beforeAutospacing="1" w:after="100" w:afterAutospacing="1"/>
      <w:widowControl/>
    </w:pPr>
    <w:rPr>
      <w:rFonts w:hint="eastAsia" w:ascii="宋体" w:hAnsi="宋体"/>
      <w:sz w:val="28"/>
      <w:szCs w:val="28"/>
    </w:rPr>
  </w:style>
  <w:style w:type="paragraph" w:styleId="983">
    <w:name w:val="xl27"/>
    <w:basedOn w:val="887"/>
    <w:next w:val="983"/>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name w:val=" Char Char Char Char Char Char Char Char"/>
    <w:basedOn w:val="887"/>
    <w:next w:val="984"/>
    <w:link w:val="887"/>
    <w:pPr>
      <w:jc w:val="left"/>
      <w:spacing w:after="160" w:line="240" w:lineRule="exact"/>
      <w:widowControl/>
    </w:pPr>
    <w:rPr>
      <w:rFonts w:ascii="Verdana" w:hAnsi="Verdana"/>
      <w:sz w:val="20"/>
      <w:szCs w:val="20"/>
      <w:lang w:eastAsia="en-US"/>
    </w:rPr>
  </w:style>
  <w:style w:type="paragraph" w:styleId="985">
    <w:name w:val="二级目录"/>
    <w:next w:val="887"/>
    <w:link w:val="927"/>
    <w:pPr>
      <w:numPr>
        <w:ilvl w:val="0"/>
        <w:numId w:val="2"/>
      </w:numPr>
      <w:tabs>
        <w:tab w:val="left" w:pos="907" w:leader="none"/>
        <w:tab w:val="left" w:pos="1145" w:leader="none"/>
      </w:tabs>
      <w:outlineLvl w:val="1"/>
    </w:pPr>
    <w:rPr>
      <w:b/>
      <w:sz w:val="30"/>
      <w:szCs w:val="28"/>
      <w:lang w:val="en-US" w:eastAsia="zh-CN" w:bidi="ar-SA"/>
    </w:rPr>
  </w:style>
  <w:style w:type="paragraph" w:styleId="986">
    <w:name w:val="Char Char Char Char Char Char Char Char"/>
    <w:basedOn w:val="887"/>
    <w:next w:val="986"/>
    <w:link w:val="887"/>
    <w:pPr>
      <w:jc w:val="left"/>
      <w:spacing w:after="160" w:line="240" w:lineRule="exact"/>
      <w:widowControl/>
    </w:pPr>
    <w:rPr>
      <w:rFonts w:ascii="Verdana" w:hAnsi="Verdana"/>
      <w:sz w:val="20"/>
      <w:szCs w:val="20"/>
      <w:lang w:eastAsia="en-US"/>
    </w:rPr>
  </w:style>
  <w:style w:type="paragraph" w:styleId="987">
    <w:name w:val="标题1"/>
    <w:basedOn w:val="887"/>
    <w:next w:val="887"/>
    <w:link w:val="887"/>
    <w:pPr>
      <w:jc w:val="center"/>
      <w:spacing w:line="700" w:lineRule="atLeast"/>
      <w:tabs>
        <w:tab w:val="left" w:pos="9193" w:leader="none"/>
        <w:tab w:val="left" w:pos="9827" w:leader="none"/>
      </w:tabs>
    </w:pPr>
    <w:rPr>
      <w:rFonts w:ascii="方正小标宋_GBK" w:eastAsia="方正小标宋_GBK"/>
      <w:sz w:val="44"/>
      <w:szCs w:val="20"/>
    </w:rPr>
  </w:style>
  <w:style w:type="paragraph" w:styleId="988">
    <w:name w:val="列出段落"/>
    <w:basedOn w:val="887"/>
    <w:next w:val="988"/>
    <w:link w:val="887"/>
    <w:qFormat/>
    <w:pPr>
      <w:contextualSpacing/>
      <w:ind w:left="720"/>
      <w:jc w:val="left"/>
      <w:widowControl/>
    </w:pPr>
    <w:rPr>
      <w:rFonts w:ascii="Calibri" w:hAnsi="Calibri"/>
      <w:sz w:val="24"/>
      <w:szCs w:val="24"/>
      <w:lang w:eastAsia="en-US" w:bidi="en-US"/>
    </w:rPr>
  </w:style>
  <w:style w:type="paragraph" w:styleId="989">
    <w:name w:val="样式1"/>
    <w:basedOn w:val="887"/>
    <w:next w:val="989"/>
    <w:link w:val="887"/>
    <w:pPr>
      <w:numPr>
        <w:ilvl w:val="0"/>
        <w:numId w:val="3"/>
      </w:numPr>
      <w:tabs>
        <w:tab w:val="left" w:pos="709" w:leader="none"/>
      </w:tabs>
    </w:pPr>
    <w:rPr>
      <w:rFonts w:ascii="宋体" w:hAnsi="宋体"/>
    </w:rPr>
  </w:style>
  <w:style w:type="paragraph" w:styleId="990">
    <w:name w:val=" Char Char Char Char Char Char Char Char Char Char"/>
    <w:basedOn w:val="887"/>
    <w:next w:val="990"/>
    <w:link w:val="887"/>
    <w:pPr>
      <w:spacing w:line="360" w:lineRule="auto"/>
    </w:pPr>
    <w:rPr>
      <w:sz w:val="24"/>
      <w:szCs w:val="20"/>
    </w:rPr>
  </w:style>
  <w:style w:type="paragraph" w:styleId="991">
    <w:name w:val="无间隔"/>
    <w:next w:val="991"/>
    <w:link w:val="887"/>
    <w:uiPriority w:val="99"/>
    <w:qFormat/>
    <w:pPr>
      <w:jc w:val="both"/>
      <w:widowControl w:val="off"/>
    </w:pPr>
    <w:rPr>
      <w:rFonts w:ascii="Times New Roman" w:hAnsi="Times New Roman"/>
      <w:sz w:val="21"/>
      <w:szCs w:val="21"/>
      <w:lang w:val="en-US" w:eastAsia="zh-CN" w:bidi="ar-SA"/>
    </w:rPr>
  </w:style>
  <w:style w:type="paragraph" w:styleId="992">
    <w:name w:val="xl26"/>
    <w:basedOn w:val="887"/>
    <w:next w:val="992"/>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3">
    <w:name w:val="列出段落1"/>
    <w:basedOn w:val="887"/>
    <w:next w:val="993"/>
    <w:link w:val="918"/>
    <w:qFormat/>
    <w:pPr>
      <w:contextualSpacing/>
      <w:ind w:left="720"/>
      <w:jc w:val="left"/>
      <w:widowControl/>
    </w:pPr>
    <w:rPr>
      <w:rFonts w:ascii="Calibri" w:hAnsi="Calibri"/>
      <w:sz w:val="24"/>
      <w:szCs w:val="24"/>
      <w:lang w:eastAsia="en-US" w:bidi="en-US"/>
    </w:rPr>
  </w:style>
  <w:style w:type="paragraph" w:styleId="994">
    <w:name w:val="Char"/>
    <w:basedOn w:val="887"/>
    <w:next w:val="994"/>
    <w:link w:val="887"/>
    <w:pPr>
      <w:ind w:firstLine="200"/>
      <w:tabs>
        <w:tab w:val="left" w:pos="360" w:leader="none"/>
      </w:tabs>
    </w:pPr>
    <w:rPr>
      <w:sz w:val="28"/>
      <w:szCs w:val="30"/>
    </w:rPr>
  </w:style>
  <w:style w:type="paragraph" w:styleId="995">
    <w:name w:val="xl28"/>
    <w:basedOn w:val="887"/>
    <w:next w:val="995"/>
    <w:link w:val="88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6">
    <w:name w:val="table_1stline"/>
    <w:basedOn w:val="887"/>
    <w:next w:val="996"/>
    <w:link w:val="887"/>
    <w:pPr>
      <w:jc w:val="left"/>
      <w:spacing w:before="120"/>
      <w:widowControl/>
    </w:pPr>
    <w:rPr>
      <w:bCs/>
      <w:sz w:val="20"/>
      <w:szCs w:val="20"/>
      <w:lang w:val="de-DE" w:eastAsia="de-DE"/>
    </w:rPr>
  </w:style>
  <w:style w:type="paragraph" w:styleId="997">
    <w:name w:val=" Char Char Char Char"/>
    <w:basedOn w:val="935"/>
    <w:next w:val="997"/>
    <w:link w:val="887"/>
    <w:pPr>
      <w:spacing w:line="360" w:lineRule="auto"/>
    </w:pPr>
    <w:rPr>
      <w:rFonts w:ascii="Tahoma" w:hAnsi="Tahoma"/>
      <w:sz w:val="24"/>
      <w:szCs w:val="24"/>
    </w:rPr>
  </w:style>
  <w:style w:type="paragraph" w:styleId="998">
    <w:name w:val="font6"/>
    <w:basedOn w:val="887"/>
    <w:next w:val="998"/>
    <w:link w:val="887"/>
    <w:pPr>
      <w:jc w:val="left"/>
      <w:spacing w:before="100" w:beforeAutospacing="1" w:after="100" w:afterAutospacing="1"/>
      <w:widowControl/>
    </w:pPr>
    <w:rPr>
      <w:rFonts w:hint="eastAsia" w:ascii="宋体" w:hAnsi="宋体"/>
      <w:sz w:val="28"/>
      <w:szCs w:val="28"/>
      <w:u w:val="single"/>
    </w:rPr>
  </w:style>
  <w:style w:type="paragraph" w:styleId="999">
    <w:name w:val="table_lines"/>
    <w:basedOn w:val="887"/>
    <w:next w:val="999"/>
    <w:link w:val="887"/>
    <w:pPr>
      <w:jc w:val="left"/>
      <w:widowControl/>
    </w:pPr>
    <w:rPr>
      <w:sz w:val="20"/>
      <w:szCs w:val="20"/>
      <w:lang w:val="de-DE" w:eastAsia="de-DE"/>
    </w:rPr>
  </w:style>
  <w:style w:type="paragraph" w:styleId="1000">
    <w:name w:val="普通正文"/>
    <w:basedOn w:val="887"/>
    <w:next w:val="1000"/>
    <w:link w:val="887"/>
    <w:pPr>
      <w:ind w:firstLine="480"/>
      <w:jc w:val="left"/>
      <w:spacing w:before="120" w:after="120" w:line="360" w:lineRule="auto"/>
    </w:pPr>
    <w:rPr>
      <w:rFonts w:ascii="Arial" w:hAnsi="Arial"/>
      <w:sz w:val="24"/>
      <w:szCs w:val="24"/>
    </w:rPr>
  </w:style>
  <w:style w:type="paragraph" w:styleId="1001">
    <w:name w:val="普通 (Web)"/>
    <w:basedOn w:val="887"/>
    <w:next w:val="1001"/>
    <w:link w:val="887"/>
    <w:pPr>
      <w:jc w:val="left"/>
      <w:spacing w:before="100" w:beforeAutospacing="1" w:after="100" w:afterAutospacing="1"/>
      <w:widowControl/>
    </w:pPr>
    <w:rPr>
      <w:rFonts w:ascii="宋体" w:hAnsi="宋体"/>
      <w:sz w:val="24"/>
      <w:szCs w:val="24"/>
    </w:rPr>
  </w:style>
  <w:style w:type="table" w:styleId="1002">
    <w:name w:val="网格型"/>
    <w:basedOn w:val="898"/>
    <w:next w:val="1002"/>
    <w:link w:val="887"/>
    <w:pPr>
      <w:jc w:val="both"/>
      <w:widowControl w:val="off"/>
    </w:pPr>
    <w:rPr>
      <w:rFonts w:ascii="Times New Roman" w:hAnsi="Times New Roman" w:eastAsia="宋体" w:cs="Times New Roman"/>
      <w:sz w:val="20"/>
      <w:szCs w:val="20"/>
    </w:rPr>
    <w:tbl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dc:creator>
  <cp:lastModifiedBy>程施雪</cp:lastModifiedBy>
  <cp:revision>4</cp:revision>
  <dcterms:created xsi:type="dcterms:W3CDTF">2023-03-16T02:16:00Z</dcterms:created>
  <dcterms:modified xsi:type="dcterms:W3CDTF">2026-07-09T07:37:07Z</dcterms:modified>
</cp:coreProperties>
</file>